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2E278">
      <w:pPr>
        <w:spacing w:line="360" w:lineRule="auto"/>
        <w:rPr>
          <w:rFonts w:hint="eastAsia" w:ascii="方正小标宋简体" w:hAnsi="宋体" w:eastAsia="方正小标宋简体"/>
          <w:sz w:val="44"/>
          <w:szCs w:val="44"/>
        </w:rPr>
      </w:pPr>
      <w:r>
        <w:rPr>
          <w:rFonts w:hint="eastAsia" w:ascii="方正小标宋简体" w:hAnsi="宋体" w:eastAsia="方正小标宋简体"/>
          <w:sz w:val="44"/>
          <w:szCs w:val="44"/>
        </w:rPr>
        <w:t>附件1：同济大学优秀博士生短期出国访学项目</w:t>
      </w:r>
    </w:p>
    <w:p w14:paraId="6C96C52C">
      <w:pPr>
        <w:pStyle w:val="2"/>
        <w:spacing w:line="584" w:lineRule="exact"/>
        <w:jc w:val="center"/>
        <w:rPr>
          <w:rFonts w:ascii="方正小标宋简体" w:hAnsi="宋体" w:eastAsia="方正小标宋简体"/>
          <w:bCs w:val="0"/>
          <w:sz w:val="40"/>
          <w:szCs w:val="36"/>
        </w:rPr>
      </w:pPr>
      <w:r>
        <w:rPr>
          <w:rFonts w:hint="eastAsia" w:ascii="方正小标宋简体" w:hAnsi="宋体" w:eastAsia="方正小标宋简体"/>
          <w:sz w:val="44"/>
          <w:szCs w:val="44"/>
        </w:rPr>
        <w:t>实施细则（试行）</w:t>
      </w:r>
    </w:p>
    <w:p w14:paraId="6F170FEF">
      <w:pPr>
        <w:spacing w:before="312" w:beforeLines="100" w:line="584" w:lineRule="exact"/>
        <w:jc w:val="center"/>
        <w:rPr>
          <w:rFonts w:ascii="黑体" w:hAnsi="黑体" w:eastAsia="黑体"/>
          <w:b/>
          <w:bCs/>
          <w:sz w:val="32"/>
          <w:szCs w:val="32"/>
        </w:rPr>
      </w:pPr>
      <w:r>
        <w:rPr>
          <w:rFonts w:hint="eastAsia" w:ascii="黑体" w:hAnsi="黑体" w:eastAsia="黑体"/>
          <w:b/>
          <w:bCs/>
          <w:sz w:val="32"/>
          <w:szCs w:val="32"/>
        </w:rPr>
        <w:t>第一章 总则</w:t>
      </w:r>
    </w:p>
    <w:p w14:paraId="62CB4214">
      <w:pPr>
        <w:spacing w:line="584" w:lineRule="exact"/>
        <w:ind w:firstLine="660"/>
        <w:rPr>
          <w:rFonts w:hint="eastAsia" w:ascii="仿宋_GB2312" w:hAnsi="仿宋" w:eastAsia="仿宋_GB2312"/>
          <w:bCs/>
          <w:sz w:val="32"/>
          <w:szCs w:val="32"/>
        </w:rPr>
      </w:pPr>
      <w:r>
        <w:rPr>
          <w:rFonts w:hint="eastAsia" w:ascii="仿宋_GB2312" w:hAnsi="仿宋" w:eastAsia="仿宋_GB2312"/>
          <w:b/>
          <w:bCs/>
          <w:sz w:val="32"/>
          <w:szCs w:val="32"/>
        </w:rPr>
        <w:t xml:space="preserve">第一条 </w:t>
      </w:r>
      <w:r>
        <w:rPr>
          <w:rFonts w:hint="eastAsia" w:ascii="仿宋_GB2312" w:hAnsi="仿宋" w:eastAsia="仿宋_GB2312"/>
          <w:bCs/>
          <w:sz w:val="32"/>
          <w:szCs w:val="32"/>
        </w:rPr>
        <w:t>为培养具有国际胜任力的新时代创新人才，进一步拓宽研究生培养的国际视野，同济大学设立“优秀博士生短期出国访学项目”，资助优秀博士生到世界一流大学或研究机构进行短期研究和访问。根据《同济大学关于加快推动新时代教育对外开放的若干意见》《同济大学建设一流大学引导专项资金管理办法》等文件精神，制定《同济大学优秀博士生短期出国访学项目实施细则（试行）》。</w:t>
      </w:r>
    </w:p>
    <w:p w14:paraId="2AB2D5A7">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第二条</w:t>
      </w:r>
      <w:r>
        <w:rPr>
          <w:rFonts w:hint="eastAsia" w:ascii="仿宋_GB2312" w:hAnsi="仿宋" w:eastAsia="仿宋_GB2312"/>
          <w:sz w:val="32"/>
          <w:szCs w:val="32"/>
        </w:rPr>
        <w:t xml:space="preserve"> 该项目经费来源于同济大学建设一流大学引导专项基金，资助的具体人数根据当年学校预算确定，研究生院负责统一管理和使用。</w:t>
      </w:r>
    </w:p>
    <w:p w14:paraId="29BB4016">
      <w:pPr>
        <w:spacing w:before="156" w:beforeLines="50" w:line="584" w:lineRule="exact"/>
        <w:jc w:val="center"/>
        <w:rPr>
          <w:rFonts w:hint="eastAsia" w:ascii="黑体" w:hAnsi="黑体" w:eastAsia="黑体"/>
          <w:b/>
          <w:bCs/>
          <w:sz w:val="32"/>
          <w:szCs w:val="32"/>
        </w:rPr>
      </w:pPr>
      <w:r>
        <w:rPr>
          <w:rFonts w:hint="eastAsia" w:ascii="黑体" w:hAnsi="黑体" w:eastAsia="黑体"/>
          <w:b/>
          <w:bCs/>
          <w:sz w:val="32"/>
          <w:szCs w:val="32"/>
        </w:rPr>
        <w:t>第二章 资助对象与范围</w:t>
      </w:r>
    </w:p>
    <w:p w14:paraId="0F964C5C">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第三条</w:t>
      </w:r>
      <w:r>
        <w:rPr>
          <w:rFonts w:hint="eastAsia" w:ascii="仿宋_GB2312" w:hAnsi="仿宋" w:eastAsia="仿宋_GB2312"/>
          <w:sz w:val="32"/>
          <w:szCs w:val="32"/>
        </w:rPr>
        <w:t xml:space="preserve"> 申请者必须是我校（全日制）在读博士研究生，申请时需已经完成博士阶段课程学习及论文开题，就读以来有较好的学习成绩与科研业绩，无课程不及格，且在规定的学制内。 </w:t>
      </w:r>
    </w:p>
    <w:p w14:paraId="13FC1A06">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第四条</w:t>
      </w:r>
      <w:r>
        <w:rPr>
          <w:rFonts w:hint="eastAsia" w:ascii="仿宋_GB2312" w:hAnsi="仿宋" w:eastAsia="仿宋_GB2312"/>
          <w:sz w:val="32"/>
          <w:szCs w:val="32"/>
        </w:rPr>
        <w:t xml:space="preserve"> 申请者须符合下列条件：</w:t>
      </w:r>
    </w:p>
    <w:p w14:paraId="497F1F49">
      <w:pPr>
        <w:spacing w:line="584" w:lineRule="exact"/>
        <w:ind w:firstLine="660"/>
        <w:rPr>
          <w:rFonts w:hint="eastAsia" w:ascii="仿宋_GB2312" w:hAnsi="仿宋" w:eastAsia="仿宋_GB2312"/>
          <w:sz w:val="32"/>
          <w:szCs w:val="32"/>
        </w:rPr>
      </w:pPr>
      <w:r>
        <w:rPr>
          <w:rFonts w:hint="eastAsia" w:ascii="仿宋_GB2312" w:hAnsi="仿宋" w:eastAsia="仿宋_GB2312"/>
          <w:sz w:val="32"/>
          <w:szCs w:val="32"/>
        </w:rPr>
        <w:t>（1）热爱祖国，热爱人民，拥护中国共产党领导，思想政治素质优秀；</w:t>
      </w:r>
    </w:p>
    <w:p w14:paraId="2CE01BD2">
      <w:pPr>
        <w:spacing w:line="584" w:lineRule="exact"/>
        <w:ind w:firstLine="660"/>
        <w:rPr>
          <w:rFonts w:hint="eastAsia" w:ascii="仿宋_GB2312" w:hAnsi="仿宋" w:eastAsia="仿宋_GB2312"/>
          <w:sz w:val="32"/>
          <w:szCs w:val="32"/>
        </w:rPr>
      </w:pPr>
      <w:r>
        <w:rPr>
          <w:rFonts w:hint="eastAsia" w:ascii="仿宋_GB2312" w:hAnsi="仿宋" w:eastAsia="仿宋_GB2312"/>
          <w:sz w:val="32"/>
          <w:szCs w:val="32"/>
        </w:rPr>
        <w:t>（2）遵守国家法律、法规，遵守公民道德规范，遵守学校管理制度，自觉践行社会主义核心价值观；</w:t>
      </w:r>
    </w:p>
    <w:p w14:paraId="2C981B23">
      <w:pPr>
        <w:spacing w:line="584" w:lineRule="exact"/>
        <w:ind w:firstLine="660"/>
        <w:rPr>
          <w:rFonts w:hint="eastAsia" w:ascii="仿宋_GB2312" w:hAnsi="仿宋" w:eastAsia="仿宋_GB2312"/>
          <w:sz w:val="32"/>
          <w:szCs w:val="32"/>
        </w:rPr>
      </w:pPr>
      <w:r>
        <w:rPr>
          <w:rFonts w:hint="eastAsia" w:ascii="仿宋_GB2312" w:hAnsi="仿宋" w:eastAsia="仿宋_GB2312"/>
          <w:sz w:val="32"/>
          <w:szCs w:val="32"/>
        </w:rPr>
        <w:t>（3）学风严谨，学习刻苦，恪守学术道德，勇于科研探</w:t>
      </w:r>
      <w:bookmarkStart w:id="0" w:name="_GoBack"/>
      <w:bookmarkEnd w:id="0"/>
      <w:r>
        <w:rPr>
          <w:rFonts w:hint="eastAsia" w:ascii="仿宋_GB2312" w:hAnsi="仿宋" w:eastAsia="仿宋_GB2312"/>
          <w:sz w:val="32"/>
          <w:szCs w:val="32"/>
        </w:rPr>
        <w:t>索，积极参加实践，具有扎实的专业基础和良好的科研潜力；</w:t>
      </w:r>
    </w:p>
    <w:p w14:paraId="6255CB01">
      <w:pPr>
        <w:spacing w:line="584" w:lineRule="exact"/>
        <w:ind w:firstLine="660"/>
        <w:rPr>
          <w:rFonts w:hint="eastAsia" w:ascii="仿宋_GB2312" w:hAnsi="仿宋" w:eastAsia="仿宋_GB2312"/>
          <w:sz w:val="32"/>
          <w:szCs w:val="32"/>
        </w:rPr>
      </w:pPr>
      <w:r>
        <w:rPr>
          <w:rFonts w:hint="eastAsia" w:ascii="仿宋_GB2312" w:hAnsi="仿宋" w:eastAsia="仿宋_GB2312"/>
          <w:sz w:val="32"/>
          <w:szCs w:val="32"/>
        </w:rPr>
        <w:t>（4）积极从事跨一级学科交叉领域的学位论文研究；</w:t>
      </w:r>
    </w:p>
    <w:p w14:paraId="1059D589">
      <w:pPr>
        <w:spacing w:line="584" w:lineRule="exact"/>
        <w:ind w:firstLine="660"/>
        <w:rPr>
          <w:rFonts w:hint="eastAsia" w:ascii="仿宋_GB2312" w:hAnsi="仿宋" w:eastAsia="仿宋_GB2312"/>
          <w:sz w:val="32"/>
          <w:szCs w:val="32"/>
        </w:rPr>
      </w:pPr>
      <w:r>
        <w:rPr>
          <w:rFonts w:hint="eastAsia" w:ascii="仿宋_GB2312" w:hAnsi="仿宋" w:eastAsia="仿宋_GB2312"/>
          <w:sz w:val="32"/>
          <w:szCs w:val="32"/>
        </w:rPr>
        <w:t>（5）具有良好的外语沟通能力；</w:t>
      </w:r>
    </w:p>
    <w:p w14:paraId="61619906">
      <w:pPr>
        <w:spacing w:line="584" w:lineRule="exact"/>
        <w:ind w:firstLine="660"/>
        <w:rPr>
          <w:rFonts w:hint="eastAsia" w:ascii="仿宋_GB2312" w:hAnsi="仿宋" w:eastAsia="仿宋_GB2312"/>
          <w:sz w:val="32"/>
          <w:szCs w:val="32"/>
        </w:rPr>
      </w:pPr>
      <w:r>
        <w:rPr>
          <w:rFonts w:hint="eastAsia" w:ascii="仿宋_GB2312" w:hAnsi="仿宋" w:eastAsia="仿宋_GB2312"/>
          <w:sz w:val="32"/>
          <w:szCs w:val="32"/>
        </w:rPr>
        <w:t xml:space="preserve">（6）身心健康。 </w:t>
      </w:r>
    </w:p>
    <w:p w14:paraId="7838541E">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第五条</w:t>
      </w:r>
      <w:r>
        <w:rPr>
          <w:rFonts w:hint="eastAsia" w:ascii="仿宋_GB2312" w:hAnsi="仿宋" w:eastAsia="仿宋_GB2312"/>
          <w:sz w:val="32"/>
          <w:szCs w:val="32"/>
        </w:rPr>
        <w:t xml:space="preserve"> 申请者需满足以下外语要求之一：</w:t>
      </w:r>
    </w:p>
    <w:p w14:paraId="23FFF40B">
      <w:pPr>
        <w:spacing w:line="584" w:lineRule="exact"/>
        <w:ind w:firstLine="660"/>
        <w:rPr>
          <w:rFonts w:hint="eastAsia" w:ascii="仿宋_GB2312" w:hAnsi="仿宋" w:eastAsia="仿宋_GB2312"/>
          <w:sz w:val="32"/>
          <w:szCs w:val="32"/>
        </w:rPr>
      </w:pPr>
      <w:r>
        <w:rPr>
          <w:rFonts w:hint="eastAsia" w:ascii="仿宋_GB2312" w:hAnsi="仿宋" w:eastAsia="仿宋_GB2312"/>
          <w:sz w:val="32"/>
          <w:szCs w:val="32"/>
        </w:rPr>
        <w:t>（1）托福85分、雅思6.0或CET6 470分以上；</w:t>
      </w:r>
    </w:p>
    <w:p w14:paraId="2D420843">
      <w:pPr>
        <w:spacing w:line="584" w:lineRule="exact"/>
        <w:ind w:firstLine="660"/>
        <w:rPr>
          <w:rFonts w:hint="eastAsia" w:ascii="仿宋_GB2312" w:hAnsi="仿宋" w:eastAsia="仿宋_GB2312"/>
          <w:sz w:val="32"/>
          <w:szCs w:val="32"/>
        </w:rPr>
      </w:pPr>
      <w:r>
        <w:rPr>
          <w:rFonts w:hint="eastAsia" w:ascii="仿宋_GB2312" w:hAnsi="仿宋" w:eastAsia="仿宋_GB2312"/>
          <w:sz w:val="32"/>
          <w:szCs w:val="32"/>
        </w:rPr>
        <w:t>（2）在国际学术期刊发表英文论文（本人第一作者，或者导师第一、本人第二作者)；</w:t>
      </w:r>
    </w:p>
    <w:p w14:paraId="5943CA01">
      <w:pPr>
        <w:spacing w:line="584" w:lineRule="exact"/>
        <w:ind w:firstLine="660"/>
        <w:rPr>
          <w:rFonts w:hint="eastAsia" w:ascii="仿宋_GB2312" w:hAnsi="仿宋" w:eastAsia="仿宋_GB2312"/>
          <w:sz w:val="32"/>
          <w:szCs w:val="32"/>
        </w:rPr>
      </w:pPr>
      <w:r>
        <w:rPr>
          <w:rFonts w:hint="eastAsia" w:ascii="仿宋_GB2312" w:hAnsi="仿宋" w:eastAsia="仿宋_GB2312"/>
          <w:sz w:val="32"/>
          <w:szCs w:val="32"/>
        </w:rPr>
        <w:t xml:space="preserve">（3）通过国外接受单位组织的笔试、面试达到其语言要求（应在外方邀请信中注明或单独出具证明）。 </w:t>
      </w:r>
    </w:p>
    <w:p w14:paraId="18A97623">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第六条</w:t>
      </w:r>
      <w:r>
        <w:rPr>
          <w:rFonts w:hint="eastAsia" w:ascii="仿宋_GB2312" w:hAnsi="仿宋" w:eastAsia="仿宋_GB2312"/>
          <w:sz w:val="32"/>
          <w:szCs w:val="32"/>
        </w:rPr>
        <w:t xml:space="preserve"> 申请者所赴外方学校应为：</w:t>
      </w:r>
    </w:p>
    <w:p w14:paraId="3825D42A">
      <w:pPr>
        <w:spacing w:line="584" w:lineRule="exact"/>
        <w:ind w:firstLine="660"/>
        <w:rPr>
          <w:rFonts w:hint="eastAsia" w:ascii="仿宋_GB2312" w:hAnsi="仿宋" w:eastAsia="仿宋_GB2312"/>
          <w:sz w:val="32"/>
          <w:szCs w:val="32"/>
        </w:rPr>
      </w:pPr>
      <w:r>
        <w:rPr>
          <w:rFonts w:hint="eastAsia" w:ascii="仿宋_GB2312" w:hAnsi="仿宋" w:eastAsia="仿宋_GB2312"/>
          <w:sz w:val="32"/>
          <w:szCs w:val="32"/>
        </w:rPr>
        <w:t>（1）国外一流高校（全球排名前150名，如QS排名）、或一流学科（全球前50名）、我校校际合作高校（协议在有效期内）或与国内导师已建立科研合作的高校（不包含港、澳、台等地区的院校）；</w:t>
      </w:r>
    </w:p>
    <w:p w14:paraId="1E49129F">
      <w:pPr>
        <w:spacing w:line="584" w:lineRule="exact"/>
        <w:ind w:firstLine="660"/>
        <w:rPr>
          <w:rFonts w:hint="eastAsia" w:ascii="仿宋_GB2312" w:hAnsi="仿宋" w:eastAsia="仿宋_GB2312"/>
          <w:sz w:val="32"/>
          <w:szCs w:val="32"/>
        </w:rPr>
      </w:pPr>
      <w:r>
        <w:rPr>
          <w:rFonts w:hint="eastAsia" w:ascii="仿宋_GB2312" w:hAnsi="仿宋" w:eastAsia="仿宋_GB2312"/>
          <w:sz w:val="32"/>
          <w:szCs w:val="32"/>
        </w:rPr>
        <w:t>（2）接收导师应具有较高学术水平；</w:t>
      </w:r>
    </w:p>
    <w:p w14:paraId="745C1C8C">
      <w:pPr>
        <w:spacing w:line="584" w:lineRule="exact"/>
        <w:ind w:firstLine="660"/>
        <w:rPr>
          <w:rFonts w:hint="eastAsia" w:ascii="仿宋_GB2312" w:hAnsi="仿宋" w:eastAsia="仿宋_GB2312"/>
          <w:sz w:val="32"/>
          <w:szCs w:val="32"/>
        </w:rPr>
      </w:pPr>
      <w:r>
        <w:rPr>
          <w:rFonts w:hint="eastAsia" w:ascii="仿宋_GB2312" w:hAnsi="仿宋" w:eastAsia="仿宋_GB2312"/>
          <w:sz w:val="32"/>
          <w:szCs w:val="32"/>
        </w:rPr>
        <w:t>（3）与我校相关学科有共同或相近的研究方向和合作研究的基础，且外方在该研究领域处于国际先进水平。</w:t>
      </w:r>
    </w:p>
    <w:p w14:paraId="0CC02F4F">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第七条</w:t>
      </w:r>
      <w:r>
        <w:rPr>
          <w:rFonts w:hint="eastAsia" w:ascii="仿宋_GB2312" w:hAnsi="仿宋" w:eastAsia="仿宋_GB2312"/>
          <w:sz w:val="32"/>
          <w:szCs w:val="32"/>
        </w:rPr>
        <w:t xml:space="preserve"> 申请者的国外接受单位应该指定一名导师（副教授职称及以上的正式教师）来指导访学期间的学习和科研工作，并与我校导师共同负责国外访学期间的考核工作。短期出国访学研修计划应与学位论文研究内容密切相关，并显示出能够取得创新性研究成果的潜力。 </w:t>
      </w:r>
    </w:p>
    <w:p w14:paraId="43E39455">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第八条</w:t>
      </w:r>
      <w:r>
        <w:rPr>
          <w:rFonts w:hint="eastAsia" w:ascii="仿宋_GB2312" w:hAnsi="仿宋" w:eastAsia="仿宋_GB2312"/>
          <w:sz w:val="32"/>
          <w:szCs w:val="32"/>
        </w:rPr>
        <w:t xml:space="preserve"> 本项目支持博士生开展3-6个月短期出国访学。经费由研究生院承担，鼓励国外接收单位或校内导师配套资助。每名博士生在读期间只能获得一次本项目的资助。  </w:t>
      </w:r>
    </w:p>
    <w:p w14:paraId="0CBE6849">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第九条</w:t>
      </w:r>
      <w:r>
        <w:rPr>
          <w:rFonts w:hint="eastAsia" w:ascii="仿宋_GB2312" w:hAnsi="仿宋" w:eastAsia="仿宋_GB2312"/>
          <w:sz w:val="32"/>
          <w:szCs w:val="32"/>
        </w:rPr>
        <w:t xml:space="preserve"> 以下情况暂不列入资助范围：已获得国家公派留学基金或学校3个月及以上出国（境）项目资助、正在国（境）外学习、持有国外长期居留证或已获国（境）外奖学金资助。</w:t>
      </w:r>
    </w:p>
    <w:p w14:paraId="7FB35F1B">
      <w:pPr>
        <w:spacing w:before="156" w:beforeLines="50" w:line="584" w:lineRule="exact"/>
        <w:jc w:val="center"/>
        <w:rPr>
          <w:rFonts w:hint="eastAsia" w:ascii="黑体" w:hAnsi="黑体" w:eastAsia="黑体"/>
          <w:b/>
          <w:bCs/>
          <w:sz w:val="32"/>
          <w:szCs w:val="32"/>
        </w:rPr>
      </w:pPr>
      <w:r>
        <w:rPr>
          <w:rFonts w:hint="eastAsia" w:ascii="黑体" w:hAnsi="黑体" w:eastAsia="黑体"/>
          <w:b/>
          <w:bCs/>
          <w:sz w:val="32"/>
          <w:szCs w:val="32"/>
        </w:rPr>
        <w:t>第三章 资助内容与标准</w:t>
      </w:r>
    </w:p>
    <w:p w14:paraId="1F547D8E">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第十条</w:t>
      </w:r>
      <w:r>
        <w:rPr>
          <w:rFonts w:hint="eastAsia" w:ascii="仿宋_GB2312" w:hAnsi="仿宋" w:eastAsia="仿宋_GB2312"/>
          <w:sz w:val="32"/>
          <w:szCs w:val="32"/>
        </w:rPr>
        <w:t xml:space="preserve"> 本项目资助内容为一次性往返国际旅费、签证费和生活费补贴。项目资助的生活费和签证费将以奖学金形式按人民币金额（依据汇率情况调整）发放至获资助博士生账户，往返国际旅费将在回国报到后报销。 </w:t>
      </w:r>
    </w:p>
    <w:p w14:paraId="0761760C">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第十一条</w:t>
      </w:r>
      <w:r>
        <w:rPr>
          <w:rFonts w:hint="eastAsia" w:ascii="仿宋_GB2312" w:hAnsi="仿宋" w:eastAsia="仿宋_GB2312"/>
          <w:sz w:val="32"/>
          <w:szCs w:val="32"/>
        </w:rPr>
        <w:t xml:space="preserve"> 奖学金标准参照《财政部 教育部关于调整国家公派留学人员奖学金和艰苦地区补贴标准的通知》（财科教[2019]6号），根据出访国家和地区实行定额资助。 </w:t>
      </w:r>
    </w:p>
    <w:p w14:paraId="40FA6C72">
      <w:pPr>
        <w:spacing w:before="156" w:beforeLines="50" w:line="584" w:lineRule="exact"/>
        <w:jc w:val="center"/>
        <w:rPr>
          <w:rFonts w:hint="eastAsia" w:ascii="黑体" w:hAnsi="黑体" w:eastAsia="黑体"/>
          <w:b/>
          <w:bCs/>
          <w:sz w:val="32"/>
          <w:szCs w:val="32"/>
        </w:rPr>
      </w:pPr>
      <w:r>
        <w:rPr>
          <w:rFonts w:hint="eastAsia" w:ascii="黑体" w:hAnsi="黑体" w:eastAsia="黑体"/>
          <w:b/>
          <w:bCs/>
          <w:sz w:val="32"/>
          <w:szCs w:val="32"/>
        </w:rPr>
        <w:t>第四章 申请与批准程序</w:t>
      </w:r>
    </w:p>
    <w:p w14:paraId="621F3332">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 xml:space="preserve">第十二条 </w:t>
      </w:r>
      <w:r>
        <w:rPr>
          <w:rFonts w:hint="eastAsia" w:ascii="仿宋_GB2312" w:hAnsi="仿宋" w:eastAsia="仿宋_GB2312"/>
          <w:sz w:val="32"/>
          <w:szCs w:val="32"/>
        </w:rPr>
        <w:t>申请资助的博士生需向学院提交以下材料：</w:t>
      </w:r>
    </w:p>
    <w:p w14:paraId="61FBE093">
      <w:pPr>
        <w:numPr>
          <w:ilvl w:val="0"/>
          <w:numId w:val="1"/>
        </w:numPr>
        <w:spacing w:line="584"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同济大学研究生境外交流项目申请预审表（非国际会议类）</w:t>
      </w:r>
    </w:p>
    <w:p w14:paraId="16E35852">
      <w:pPr>
        <w:numPr>
          <w:ilvl w:val="0"/>
          <w:numId w:val="1"/>
        </w:numPr>
        <w:spacing w:line="584"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国外接受单位的同意接受函或邀请信（需明确出访时间、出访内容、及外方导师）</w:t>
      </w:r>
    </w:p>
    <w:p w14:paraId="2AC0115D">
      <w:pPr>
        <w:numPr>
          <w:ilvl w:val="0"/>
          <w:numId w:val="1"/>
        </w:numPr>
        <w:spacing w:line="584"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国内、外导师共同签字认可的国外访学计划书或协议书；</w:t>
      </w:r>
    </w:p>
    <w:p w14:paraId="2566F2E1">
      <w:pPr>
        <w:numPr>
          <w:ilvl w:val="0"/>
          <w:numId w:val="1"/>
        </w:numPr>
        <w:spacing w:line="584"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外方指导老师简历（需外导签字确认）；</w:t>
      </w:r>
    </w:p>
    <w:p w14:paraId="79807043">
      <w:pPr>
        <w:numPr>
          <w:ilvl w:val="0"/>
          <w:numId w:val="1"/>
        </w:numPr>
        <w:spacing w:line="584"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国内外导师合作科研或课题的相关证明材料；</w:t>
      </w:r>
    </w:p>
    <w:p w14:paraId="4F5FA1F7">
      <w:pPr>
        <w:numPr>
          <w:ilvl w:val="0"/>
          <w:numId w:val="1"/>
        </w:numPr>
        <w:spacing w:line="584"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申请人在校期间成绩单及科研成果清单；</w:t>
      </w:r>
    </w:p>
    <w:p w14:paraId="22D562AA">
      <w:pPr>
        <w:spacing w:line="584" w:lineRule="exact"/>
        <w:ind w:firstLine="660"/>
        <w:rPr>
          <w:rFonts w:hint="eastAsia" w:ascii="仿宋_GB2312" w:hAnsi="仿宋" w:eastAsia="仿宋_GB2312"/>
          <w:sz w:val="32"/>
          <w:szCs w:val="32"/>
        </w:rPr>
      </w:pPr>
      <w:r>
        <w:rPr>
          <w:rFonts w:hint="eastAsia" w:ascii="仿宋_GB2312" w:hAnsi="仿宋" w:eastAsia="仿宋_GB2312"/>
          <w:sz w:val="32"/>
          <w:szCs w:val="32"/>
        </w:rPr>
        <w:t>（7）外语水平证明。</w:t>
      </w:r>
    </w:p>
    <w:p w14:paraId="6F36D6BE">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第十三条</w:t>
      </w:r>
      <w:r>
        <w:rPr>
          <w:rFonts w:hint="eastAsia" w:ascii="仿宋_GB2312" w:hAnsi="仿宋" w:eastAsia="仿宋_GB2312"/>
          <w:sz w:val="32"/>
          <w:szCs w:val="32"/>
        </w:rPr>
        <w:t xml:space="preserve"> 由博士生导师及所在学院负责审核申请材料的真实性，确认符合短期出国访学项目资助要求后提交研究生院。对于申请时为毕业年级、或拟留学期限超过学制的博士生，请导师、院（系）根据派出的可行性重点考虑是否进行推荐。</w:t>
      </w:r>
    </w:p>
    <w:p w14:paraId="25D91FB3">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第十四条</w:t>
      </w:r>
      <w:r>
        <w:rPr>
          <w:rFonts w:hint="eastAsia" w:ascii="仿宋_GB2312" w:hAnsi="仿宋" w:eastAsia="仿宋_GB2312"/>
          <w:sz w:val="32"/>
          <w:szCs w:val="32"/>
        </w:rPr>
        <w:t xml:space="preserve"> 本项目采取“个人申请，导师及院系推荐，专家评审，择优录取”的方式进行选拔。由研究生院组织专家评审、名单公示，具体资助名单和额度以研究生院正式批复结果为准，获资助博士生将获“优秀博士生短期出国访学项目资助函”。</w:t>
      </w:r>
    </w:p>
    <w:p w14:paraId="15A1E66E">
      <w:pPr>
        <w:spacing w:before="156" w:beforeLines="50" w:line="584" w:lineRule="exact"/>
        <w:jc w:val="center"/>
        <w:rPr>
          <w:rFonts w:hint="eastAsia" w:ascii="黑体" w:hAnsi="黑体" w:eastAsia="黑体"/>
          <w:b/>
          <w:bCs/>
          <w:sz w:val="32"/>
          <w:szCs w:val="32"/>
        </w:rPr>
      </w:pPr>
      <w:r>
        <w:rPr>
          <w:rFonts w:hint="eastAsia" w:ascii="黑体" w:hAnsi="黑体" w:eastAsia="黑体"/>
          <w:b/>
          <w:bCs/>
          <w:sz w:val="32"/>
          <w:szCs w:val="32"/>
        </w:rPr>
        <w:t>第五章 项目派出与管理</w:t>
      </w:r>
    </w:p>
    <w:p w14:paraId="7F11B99D">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 xml:space="preserve">第十五条 </w:t>
      </w:r>
      <w:r>
        <w:rPr>
          <w:rFonts w:hint="eastAsia" w:ascii="仿宋_GB2312" w:hAnsi="仿宋" w:eastAsia="仿宋_GB2312"/>
          <w:sz w:val="32"/>
          <w:szCs w:val="32"/>
        </w:rPr>
        <w:t>获资助博士生需按照《同济大学学生出国(境)管理规定》办理相应的出国审批手续，在学生抵达目的国后，可凭签证、因公出国批件和出境记录由导师通过OA向财务处申请发放短期出国访学期间奖学金。</w:t>
      </w:r>
    </w:p>
    <w:p w14:paraId="660AA9F4">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第十六条</w:t>
      </w:r>
      <w:r>
        <w:rPr>
          <w:rFonts w:hint="eastAsia" w:ascii="仿宋_GB2312" w:hAnsi="仿宋" w:eastAsia="仿宋_GB2312"/>
          <w:sz w:val="32"/>
          <w:szCs w:val="32"/>
        </w:rPr>
        <w:t xml:space="preserve"> 获资助博士生派出及在外管理按照《同济大学学生出国(境)管理规定》执行，期间由导师、学院和研究生院共同负责。</w:t>
      </w:r>
    </w:p>
    <w:p w14:paraId="4226E176">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 xml:space="preserve">第十七条 </w:t>
      </w:r>
      <w:r>
        <w:rPr>
          <w:rFonts w:hint="eastAsia" w:ascii="仿宋_GB2312" w:hAnsi="仿宋" w:eastAsia="仿宋_GB2312"/>
          <w:sz w:val="32"/>
          <w:szCs w:val="32"/>
        </w:rPr>
        <w:t xml:space="preserve">申请人获批资助后，不得随意放弃。获资助博士生须于资助通知发布后3个月内派出。凡获批资助而无不可抗拒理由不执行或不按期执行短期出国访学计划的，须全额退还已发放奖学金，并不得申请本项目下一年度资助。 </w:t>
      </w:r>
    </w:p>
    <w:p w14:paraId="68A45451">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第十八条</w:t>
      </w:r>
      <w:r>
        <w:rPr>
          <w:rFonts w:hint="eastAsia" w:ascii="仿宋_GB2312" w:hAnsi="仿宋" w:eastAsia="仿宋_GB2312"/>
          <w:sz w:val="32"/>
          <w:szCs w:val="32"/>
        </w:rPr>
        <w:t xml:space="preserve"> 获资助博士生未经事先书面批准不得中途回国，不得延长在外停留时间，不得绕道旅行，不得增加顺访国家或地区，否则研究生院将收回奖学金，并视其情节轻重，给予相应处分。 </w:t>
      </w:r>
    </w:p>
    <w:p w14:paraId="03438936">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第十九条</w:t>
      </w:r>
      <w:r>
        <w:rPr>
          <w:rFonts w:hint="eastAsia" w:ascii="仿宋_GB2312" w:hAnsi="仿宋" w:eastAsia="仿宋_GB2312"/>
          <w:sz w:val="32"/>
          <w:szCs w:val="32"/>
        </w:rPr>
        <w:t xml:space="preserve"> 获资助博士生由于特殊原因需延期派出、改派或变更访学期限，需于派出前一个月在OA中提交短期出国访学变更申请，经学院及相关部门负责人审批通过后方可生效，延长访学期限期间的国外费用研究生院不予承担；经批准提前回国者，需按比例退还奖学金。 </w:t>
      </w:r>
    </w:p>
    <w:p w14:paraId="50F391AA">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第二十条</w:t>
      </w:r>
      <w:r>
        <w:rPr>
          <w:rFonts w:hint="eastAsia" w:ascii="仿宋_GB2312" w:hAnsi="仿宋" w:eastAsia="仿宋_GB2312"/>
          <w:sz w:val="32"/>
          <w:szCs w:val="32"/>
        </w:rPr>
        <w:t xml:space="preserve"> 获资助博士生在短期出国访学期间的科研产出如论文、研究项目或科研成果，在成文、发表、公开时，需注明“获同济大学优秀博士生短期出国访学项目资助”，同时附注短期出国访学项目编号。 </w:t>
      </w:r>
    </w:p>
    <w:p w14:paraId="2B2817AE">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第二十一条</w:t>
      </w:r>
      <w:r>
        <w:rPr>
          <w:rFonts w:hint="eastAsia" w:ascii="仿宋_GB2312" w:hAnsi="仿宋" w:eastAsia="仿宋_GB2312"/>
          <w:sz w:val="32"/>
          <w:szCs w:val="32"/>
        </w:rPr>
        <w:t xml:space="preserve"> 获资助博士生短期出国访学期间，校内奖助金发放视同在校生管理，亦可向学校申请包括国家奖学金在内的各类博士生奖学金和荣誉。 </w:t>
      </w:r>
    </w:p>
    <w:p w14:paraId="3C212E6D">
      <w:pPr>
        <w:spacing w:before="156" w:beforeLines="50" w:line="584" w:lineRule="exact"/>
        <w:jc w:val="center"/>
        <w:rPr>
          <w:rFonts w:hint="eastAsia" w:ascii="黑体" w:hAnsi="黑体" w:eastAsia="黑体"/>
          <w:b/>
          <w:bCs/>
          <w:sz w:val="32"/>
          <w:szCs w:val="32"/>
        </w:rPr>
      </w:pPr>
      <w:r>
        <w:rPr>
          <w:rFonts w:hint="eastAsia" w:ascii="黑体" w:hAnsi="黑体" w:eastAsia="黑体"/>
          <w:b/>
          <w:bCs/>
          <w:sz w:val="32"/>
          <w:szCs w:val="32"/>
        </w:rPr>
        <w:t>第六章 结题要求</w:t>
      </w:r>
    </w:p>
    <w:p w14:paraId="5FFED89F">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第二十二条</w:t>
      </w:r>
      <w:r>
        <w:rPr>
          <w:rFonts w:hint="eastAsia" w:ascii="仿宋_GB2312" w:hAnsi="仿宋" w:eastAsia="仿宋_GB2312"/>
          <w:sz w:val="32"/>
          <w:szCs w:val="32"/>
        </w:rPr>
        <w:t xml:space="preserve"> 获资助博士生应按期完成访学计划，在留学单位访学期间需做一次公开学术汇报。博士生短期出国访学结束后，需于归国一个月内完成以下工作： </w:t>
      </w:r>
    </w:p>
    <w:p w14:paraId="4EC94179">
      <w:pPr>
        <w:numPr>
          <w:ilvl w:val="0"/>
          <w:numId w:val="2"/>
        </w:numPr>
        <w:spacing w:line="584"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在课题组或更大范围内，做一次学术报告，介绍短期出国访学期间的研究工作进展与成果，由国内导师负责组织安排； </w:t>
      </w:r>
    </w:p>
    <w:p w14:paraId="19E1A683">
      <w:pPr>
        <w:numPr>
          <w:ilvl w:val="0"/>
          <w:numId w:val="2"/>
        </w:numPr>
        <w:spacing w:line="584"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向研究生院提交短期出国访学总结报告、访学合作导师评价意见、访学期间发表论文专利等成果证明材料、在访学院校学习和科研以及回国后做学术报告会的照片； </w:t>
      </w:r>
    </w:p>
    <w:p w14:paraId="00BDA41E">
      <w:pPr>
        <w:spacing w:line="584" w:lineRule="exact"/>
        <w:ind w:firstLine="660"/>
        <w:rPr>
          <w:rFonts w:hint="eastAsia" w:ascii="仿宋_GB2312" w:hAnsi="仿宋" w:eastAsia="仿宋_GB2312"/>
          <w:sz w:val="32"/>
          <w:szCs w:val="32"/>
        </w:rPr>
      </w:pPr>
      <w:r>
        <w:rPr>
          <w:rFonts w:hint="eastAsia" w:ascii="仿宋_GB2312" w:hAnsi="仿宋" w:eastAsia="仿宋_GB2312"/>
          <w:sz w:val="32"/>
          <w:szCs w:val="32"/>
        </w:rPr>
        <w:t xml:space="preserve">（3）办理返校报到手续，凭相关票据申请报销往返机票。 </w:t>
      </w:r>
    </w:p>
    <w:p w14:paraId="064DD30A">
      <w:pPr>
        <w:spacing w:line="584" w:lineRule="exact"/>
        <w:ind w:firstLine="660"/>
        <w:rPr>
          <w:rFonts w:hint="eastAsia" w:ascii="仿宋_GB2312" w:hAnsi="仿宋" w:eastAsia="仿宋_GB2312"/>
          <w:sz w:val="32"/>
          <w:szCs w:val="32"/>
        </w:rPr>
      </w:pPr>
      <w:r>
        <w:rPr>
          <w:rFonts w:hint="eastAsia" w:ascii="仿宋_GB2312" w:hAnsi="仿宋" w:eastAsia="仿宋_GB2312"/>
          <w:b/>
          <w:bCs/>
          <w:sz w:val="32"/>
          <w:szCs w:val="32"/>
        </w:rPr>
        <w:t>第二十三条</w:t>
      </w:r>
      <w:r>
        <w:rPr>
          <w:rFonts w:hint="eastAsia" w:ascii="仿宋_GB2312" w:hAnsi="仿宋" w:eastAsia="仿宋_GB2312"/>
          <w:sz w:val="32"/>
          <w:szCs w:val="32"/>
        </w:rPr>
        <w:t xml:space="preserve"> 短访时间结束后一个月内未按期办理相应返校、结题等手续者，取消其往返机票的报销。 </w:t>
      </w:r>
    </w:p>
    <w:p w14:paraId="72A5ECB0">
      <w:pPr>
        <w:spacing w:before="156" w:beforeLines="50" w:line="584" w:lineRule="exact"/>
        <w:jc w:val="center"/>
        <w:rPr>
          <w:rFonts w:hint="eastAsia" w:ascii="黑体" w:hAnsi="黑体" w:eastAsia="黑体"/>
          <w:b/>
          <w:bCs/>
          <w:sz w:val="32"/>
          <w:szCs w:val="32"/>
        </w:rPr>
      </w:pPr>
      <w:r>
        <w:rPr>
          <w:rFonts w:hint="eastAsia" w:ascii="黑体" w:hAnsi="黑体" w:eastAsia="黑体"/>
          <w:b/>
          <w:bCs/>
          <w:sz w:val="32"/>
          <w:szCs w:val="32"/>
        </w:rPr>
        <w:t>第七章 附则</w:t>
      </w:r>
    </w:p>
    <w:p w14:paraId="62762144">
      <w:pPr>
        <w:spacing w:line="584" w:lineRule="exact"/>
        <w:ind w:firstLine="660"/>
        <w:rPr>
          <w:rFonts w:ascii="仿宋_GB2312" w:hAnsi="Arial" w:eastAsia="仿宋_GB2312" w:cs="Arial"/>
          <w:sz w:val="32"/>
          <w:szCs w:val="32"/>
        </w:rPr>
      </w:pPr>
      <w:r>
        <w:rPr>
          <w:rFonts w:hint="eastAsia" w:ascii="仿宋_GB2312" w:hAnsi="仿宋" w:eastAsia="仿宋_GB2312"/>
          <w:b/>
          <w:bCs/>
          <w:sz w:val="32"/>
          <w:szCs w:val="32"/>
        </w:rPr>
        <w:t>第二十四条</w:t>
      </w:r>
      <w:r>
        <w:rPr>
          <w:rFonts w:hint="eastAsia" w:ascii="仿宋_GB2312" w:hAnsi="仿宋" w:eastAsia="仿宋_GB2312"/>
          <w:sz w:val="32"/>
          <w:szCs w:val="32"/>
        </w:rPr>
        <w:t xml:space="preserve"> 本办法自公布之日起执行，由研究生院负责解释。</w:t>
      </w:r>
    </w:p>
    <w:p w14:paraId="68E71BEC">
      <w:pPr>
        <w:widowControl/>
        <w:snapToGrid w:val="0"/>
        <w:spacing w:line="580" w:lineRule="atLeast"/>
        <w:rPr>
          <w:rFonts w:hint="eastAsia" w:ascii="仿宋_GB2312" w:hAnsi="Arial" w:eastAsia="仿宋_GB2312" w:cs="Arial"/>
          <w:sz w:val="32"/>
          <w:szCs w:val="32"/>
        </w:rPr>
      </w:pPr>
    </w:p>
    <w:p w14:paraId="05270DFF">
      <w:pPr>
        <w:widowControl/>
        <w:snapToGrid w:val="0"/>
        <w:spacing w:line="580" w:lineRule="atLeast"/>
        <w:rPr>
          <w:rFonts w:ascii="仿宋_GB2312" w:hAnsi="Arial" w:eastAsia="仿宋_GB2312" w:cs="Arial"/>
          <w:sz w:val="32"/>
          <w:szCs w:val="32"/>
        </w:rPr>
      </w:pPr>
    </w:p>
    <w:p w14:paraId="46509A45">
      <w:pPr>
        <w:widowControl/>
        <w:snapToGrid w:val="0"/>
        <w:spacing w:line="580" w:lineRule="atLeast"/>
        <w:rPr>
          <w:rFonts w:hint="eastAsia" w:ascii="仿宋_GB2312" w:hAnsi="Arial" w:eastAsia="仿宋_GB2312" w:cs="Arial"/>
          <w:sz w:val="32"/>
          <w:szCs w:val="32"/>
        </w:rPr>
      </w:pPr>
    </w:p>
    <w:tbl>
      <w:tblPr>
        <w:tblStyle w:val="5"/>
        <w:tblpPr w:leftFromText="180" w:rightFromText="180" w:vertAnchor="text" w:horzAnchor="margin" w:tblpY="592"/>
        <w:tblW w:w="8887"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887"/>
      </w:tblGrid>
      <w:tr w14:paraId="02BF388D">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8887" w:type="dxa"/>
            <w:tcBorders>
              <w:top w:val="single" w:color="auto" w:sz="8" w:space="0"/>
              <w:left w:val="nil"/>
              <w:bottom w:val="single" w:color="auto" w:sz="8" w:space="0"/>
              <w:right w:val="nil"/>
            </w:tcBorders>
            <w:vAlign w:val="center"/>
          </w:tcPr>
          <w:p w14:paraId="1D3B3078">
            <w:pPr>
              <w:tabs>
                <w:tab w:val="left" w:pos="7920"/>
              </w:tabs>
              <w:spacing w:line="460" w:lineRule="exact"/>
              <w:rPr>
                <w:rFonts w:hint="eastAsia" w:ascii="仿宋_GB2312" w:eastAsia="仿宋_GB2312"/>
                <w:sz w:val="28"/>
                <w:szCs w:val="28"/>
              </w:rPr>
            </w:pPr>
            <w:r>
              <w:rPr>
                <w:rFonts w:hint="eastAsia" w:ascii="仿宋_GB2312" w:eastAsia="仿宋_GB2312"/>
                <w:sz w:val="28"/>
                <w:szCs w:val="28"/>
              </w:rPr>
              <w:t xml:space="preserve">  研究生院                        </w:t>
            </w:r>
            <w:r>
              <w:rPr>
                <w:rFonts w:ascii="仿宋_GB2312" w:eastAsia="仿宋_GB2312"/>
                <w:sz w:val="28"/>
                <w:szCs w:val="28"/>
              </w:rPr>
              <w:t xml:space="preserve">     </w:t>
            </w:r>
            <w:r>
              <w:rPr>
                <w:rFonts w:hint="eastAsia" w:ascii="仿宋_GB2312" w:eastAsia="仿宋_GB2312"/>
                <w:sz w:val="28"/>
                <w:szCs w:val="28"/>
              </w:rPr>
              <w:t xml:space="preserve">    20</w:t>
            </w:r>
            <w:r>
              <w:rPr>
                <w:rFonts w:ascii="仿宋_GB2312" w:eastAsia="仿宋_GB2312"/>
                <w:sz w:val="28"/>
                <w:szCs w:val="28"/>
              </w:rPr>
              <w:t>23</w:t>
            </w:r>
            <w:r>
              <w:rPr>
                <w:rFonts w:hint="eastAsia" w:ascii="仿宋_GB2312" w:eastAsia="仿宋_GB2312"/>
                <w:sz w:val="28"/>
                <w:szCs w:val="28"/>
              </w:rPr>
              <w:t>年</w:t>
            </w:r>
            <w:r>
              <w:rPr>
                <w:rFonts w:ascii="仿宋_GB2312" w:eastAsia="仿宋_GB2312"/>
                <w:sz w:val="28"/>
                <w:szCs w:val="28"/>
              </w:rPr>
              <w:t>11</w:t>
            </w:r>
            <w:r>
              <w:rPr>
                <w:rFonts w:hint="eastAsia" w:ascii="仿宋_GB2312" w:eastAsia="仿宋_GB2312"/>
                <w:sz w:val="28"/>
                <w:szCs w:val="28"/>
              </w:rPr>
              <w:t>月</w:t>
            </w:r>
            <w:r>
              <w:rPr>
                <w:rFonts w:ascii="仿宋_GB2312" w:eastAsia="仿宋_GB2312"/>
                <w:sz w:val="28"/>
                <w:szCs w:val="28"/>
              </w:rPr>
              <w:t>2</w:t>
            </w:r>
            <w:r>
              <w:rPr>
                <w:rFonts w:hint="eastAsia" w:ascii="仿宋_GB2312" w:eastAsia="仿宋_GB2312"/>
                <w:sz w:val="28"/>
                <w:szCs w:val="28"/>
              </w:rPr>
              <w:t>日印发</w:t>
            </w:r>
          </w:p>
        </w:tc>
      </w:tr>
    </w:tbl>
    <w:p w14:paraId="7CE91B3D">
      <w:pPr>
        <w:snapToGrid w:val="0"/>
        <w:spacing w:line="580" w:lineRule="atLeast"/>
        <w:ind w:firstLine="440" w:firstLineChars="200"/>
        <w:rPr>
          <w:sz w:val="22"/>
        </w:rPr>
      </w:pPr>
    </w:p>
    <w:p w14:paraId="35FF7723">
      <w:pPr>
        <w:rPr>
          <w:rFonts w:hint="eastAsia"/>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52CB27-69D7-40EF-945D-D924693D22A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AA3C4FC8-99B0-4A74-82EB-CA39C2284362}"/>
  </w:font>
  <w:font w:name="方正小标宋简体">
    <w:panose1 w:val="02000000000000000000"/>
    <w:charset w:val="86"/>
    <w:family w:val="auto"/>
    <w:pitch w:val="default"/>
    <w:sig w:usb0="00000001" w:usb1="08000000" w:usb2="00000000" w:usb3="00000000" w:csb0="00040000" w:csb1="00000000"/>
    <w:embedRegular r:id="rId3" w:fontKey="{7EF7BFED-E4A9-4EDA-8261-95C21E9137E1}"/>
  </w:font>
  <w:font w:name="仿宋_GB2312">
    <w:altName w:val="仿宋"/>
    <w:panose1 w:val="00000000000000000000"/>
    <w:charset w:val="86"/>
    <w:family w:val="modern"/>
    <w:pitch w:val="default"/>
    <w:sig w:usb0="00000000" w:usb1="00000000" w:usb2="00000010" w:usb3="00000000" w:csb0="00040000" w:csb1="00000000"/>
    <w:embedRegular r:id="rId4" w:fontKey="{6C5B7356-B942-4B3D-A243-9CDAF1C3FF1D}"/>
  </w:font>
  <w:font w:name="仿宋">
    <w:panose1 w:val="02010609060101010101"/>
    <w:charset w:val="86"/>
    <w:family w:val="modern"/>
    <w:pitch w:val="default"/>
    <w:sig w:usb0="800002BF" w:usb1="38CF7CFA" w:usb2="00000016" w:usb3="00000000" w:csb0="00040001" w:csb1="00000000"/>
    <w:embedRegular r:id="rId5" w:fontKey="{D66C9723-83F2-48CC-A1A2-3FD69A3EE1CC}"/>
  </w:font>
  <w:font w:name="Arial">
    <w:panose1 w:val="020B0604020202020204"/>
    <w:charset w:val="00"/>
    <w:family w:val="swiss"/>
    <w:pitch w:val="default"/>
    <w:sig w:usb0="E0002AFF" w:usb1="C0007843" w:usb2="00000009" w:usb3="00000000" w:csb0="400001FF" w:csb1="FFFF0000"/>
    <w:embedRegular r:id="rId6" w:fontKey="{53EEF238-6AA4-4832-BC6F-3BAF93C648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BA59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1A066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01A066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3EDB6"/>
    <w:multiLevelType w:val="singleLevel"/>
    <w:tmpl w:val="9653EDB6"/>
    <w:lvl w:ilvl="0" w:tentative="0">
      <w:start w:val="1"/>
      <w:numFmt w:val="decimal"/>
      <w:suff w:val="nothing"/>
      <w:lvlText w:val="（%1）"/>
      <w:lvlJc w:val="left"/>
    </w:lvl>
  </w:abstractNum>
  <w:abstractNum w:abstractNumId="1">
    <w:nsid w:val="D4B1A2F7"/>
    <w:multiLevelType w:val="singleLevel"/>
    <w:tmpl w:val="D4B1A2F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hNzk2Mjc3YjgxZDc3YTEyYmU5MzNlMDVkNzY0MTYifQ=="/>
  </w:docVars>
  <w:rsids>
    <w:rsidRoot w:val="008B4827"/>
    <w:rsid w:val="00007A7A"/>
    <w:rsid w:val="000C7DB3"/>
    <w:rsid w:val="000E3782"/>
    <w:rsid w:val="003864AE"/>
    <w:rsid w:val="00492E45"/>
    <w:rsid w:val="004A64EA"/>
    <w:rsid w:val="006B2505"/>
    <w:rsid w:val="006F7796"/>
    <w:rsid w:val="00754E22"/>
    <w:rsid w:val="007B4CD5"/>
    <w:rsid w:val="008B4827"/>
    <w:rsid w:val="5E364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qFormat/>
    <w:uiPriority w:val="0"/>
    <w:pPr>
      <w:adjustRightInd w:val="0"/>
      <w:snapToGrid w:val="0"/>
      <w:spacing w:line="500" w:lineRule="atLeast"/>
    </w:pPr>
    <w:rPr>
      <w:rFonts w:ascii="宋体"/>
      <w:bCs/>
      <w:sz w:val="2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三线表"/>
    <w:basedOn w:val="5"/>
    <w:qFormat/>
    <w:uiPriority w:val="99"/>
    <w:tblPr>
      <w:tblBorders>
        <w:top w:val="single" w:color="auto" w:sz="12" w:space="0"/>
        <w:bottom w:val="single" w:color="auto" w:sz="12" w:space="0"/>
      </w:tblBorders>
    </w:tblPr>
    <w:tblStylePr w:type="firstRow">
      <w:tcPr>
        <w:tcBorders>
          <w:top w:val="single" w:color="auto" w:sz="12" w:space="0"/>
          <w:left w:val="nil"/>
          <w:bottom w:val="single" w:color="auto" w:sz="6" w:space="0"/>
          <w:right w:val="nil"/>
          <w:insideH w:val="nil"/>
          <w:insideV w:val="nil"/>
          <w:tl2br w:val="nil"/>
          <w:tr2bl w:val="nil"/>
        </w:tcBorders>
      </w:tcPr>
    </w:tblStylePr>
  </w:style>
  <w:style w:type="character" w:customStyle="1" w:styleId="8">
    <w:name w:val="正文文本 字符"/>
    <w:basedOn w:val="6"/>
    <w:link w:val="2"/>
    <w:qFormat/>
    <w:uiPriority w:val="0"/>
    <w:rPr>
      <w:rFonts w:ascii="宋体" w:hAnsi="Times New Roman" w:eastAsia="宋体" w:cs="Times New Roman"/>
      <w:bCs/>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CEE54-8421-4ECF-B154-F2E4F7A6179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2611</Words>
  <Characters>2637</Characters>
  <Lines>19</Lines>
  <Paragraphs>5</Paragraphs>
  <TotalTime>1</TotalTime>
  <ScaleCrop>false</ScaleCrop>
  <LinksUpToDate>false</LinksUpToDate>
  <CharactersWithSpaces>2723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2024-09-29T01:30:00Z</dcterms:created>
  <dc:creator>凡 吴</dc:creator>
  <cp:lastModifiedBy>沈夕希</cp:lastModifiedBy>
  <dcterms:modified xsi:type="dcterms:W3CDTF">2024-09-29T01:49:40Z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C6EC899BFF9D4DCF94BD0B8C5F51F27C_12</vt:lpwstr>
  </property>
</Properties>
</file>