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F1202">
      <w:pPr>
        <w:pStyle w:val="31"/>
        <w:keepNext w:val="0"/>
        <w:keepLines w:val="0"/>
        <w:pageBreakBefore w:val="0"/>
        <w:widowControl/>
        <w:kinsoku/>
        <w:wordWrap/>
        <w:overflowPunct/>
        <w:topLinePunct w:val="0"/>
        <w:autoSpaceDE/>
        <w:autoSpaceDN/>
        <w:bidi w:val="0"/>
        <w:adjustRightInd w:val="0"/>
        <w:snapToGrid w:val="0"/>
        <w:spacing w:after="0" w:line="579" w:lineRule="exact"/>
        <w:textAlignment w:val="auto"/>
        <w:rPr>
          <w:rFonts w:hint="eastAsia"/>
          <w:color w:val="auto"/>
          <w:sz w:val="40"/>
          <w:szCs w:val="40"/>
        </w:rPr>
      </w:pPr>
      <w:r>
        <w:rPr>
          <w:color w:val="auto"/>
          <w:sz w:val="40"/>
          <w:szCs w:val="40"/>
        </w:rPr>
        <mc:AlternateContent>
          <mc:Choice Requires="wps">
            <w:drawing>
              <wp:anchor distT="0" distB="0" distL="0" distR="0" simplePos="0" relativeHeight="251659264" behindDoc="0" locked="0" layoutInCell="1" allowOverlap="1">
                <wp:simplePos x="0" y="0"/>
                <wp:positionH relativeFrom="column">
                  <wp:posOffset>-571500</wp:posOffset>
                </wp:positionH>
                <wp:positionV relativeFrom="paragraph">
                  <wp:posOffset>-571500</wp:posOffset>
                </wp:positionV>
                <wp:extent cx="1123950" cy="419100"/>
                <wp:effectExtent l="0" t="0" r="0" b="0"/>
                <wp:wrapNone/>
                <wp:docPr id="1026" name="文本框 1"/>
                <wp:cNvGraphicFramePr/>
                <a:graphic xmlns:a="http://schemas.openxmlformats.org/drawingml/2006/main">
                  <a:graphicData uri="http://schemas.microsoft.com/office/word/2010/wordprocessingShape">
                    <wps:wsp>
                      <wps:cNvSpPr/>
                      <wps:spPr>
                        <a:xfrm>
                          <a:off x="0" y="0"/>
                          <a:ext cx="1123950" cy="419100"/>
                        </a:xfrm>
                        <a:prstGeom prst="rect">
                          <a:avLst/>
                        </a:prstGeom>
                        <a:solidFill>
                          <a:srgbClr val="FFFFFF"/>
                        </a:solidFill>
                        <a:ln>
                          <a:noFill/>
                        </a:ln>
                      </wps:spPr>
                      <wps:txbx>
                        <w:txbxContent>
                          <w:p w14:paraId="093B1DEA">
                            <w:pPr>
                              <w:ind w:left="0" w:leftChars="0" w:firstLine="0" w:firstLineChars="0"/>
                              <w:rPr>
                                <w:rFonts w:hint="eastAsia" w:eastAsia="仿宋"/>
                              </w:rPr>
                            </w:pPr>
                            <w:r>
                              <w:rPr>
                                <w:rFonts w:hint="eastAsia"/>
                              </w:rPr>
                              <w:t>附件1</w:t>
                            </w:r>
                          </w:p>
                        </w:txbxContent>
                      </wps:txbx>
                      <wps:bodyPr vert="horz" wrap="square" lIns="91440" tIns="45720" rIns="91440" bIns="45720" anchor="t">
                        <a:noAutofit/>
                      </wps:bodyPr>
                    </wps:wsp>
                  </a:graphicData>
                </a:graphic>
              </wp:anchor>
            </w:drawing>
          </mc:Choice>
          <mc:Fallback>
            <w:pict>
              <v:rect id="文本框 1" o:spid="_x0000_s1026" o:spt="1" style="position:absolute;left:0pt;margin-left:-45pt;margin-top:-45pt;height:33pt;width:88.5pt;z-index:251659264;mso-width-relative:page;mso-height-relative:page;" fillcolor="#FFFFFF" filled="t" stroked="f" coordsize="21600,21600" o:gfxdata="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lUvQp1QAAAAoBAAAPAAAAAAAAAAEAIAAAACIAAABkcnMvZG93bnJldi54bWxQSwECFAAUAAAA&#10;CACHTuJAmGzKzPEBAADXAwAADgAAAAAAAAABACAAAAAkAQAAZHJzL2Uyb0RvYy54bWxQSwUGAAAA&#10;AAYABgBZAQAAhwUAAAAA&#10;">
                <v:fill on="t" focussize="0,0"/>
                <v:stroke on="f"/>
                <v:imagedata o:title=""/>
                <o:lock v:ext="edit" aspectratio="f"/>
                <v:textbox>
                  <w:txbxContent>
                    <w:p w14:paraId="093B1DEA">
                      <w:pPr>
                        <w:ind w:left="0" w:leftChars="0" w:firstLine="0" w:firstLineChars="0"/>
                        <w:rPr>
                          <w:rFonts w:hint="eastAsia" w:eastAsia="仿宋"/>
                        </w:rPr>
                      </w:pPr>
                      <w:r>
                        <w:rPr>
                          <w:rFonts w:hint="eastAsia"/>
                        </w:rPr>
                        <w:t>附件1</w:t>
                      </w:r>
                    </w:p>
                  </w:txbxContent>
                </v:textbox>
              </v:rect>
            </w:pict>
          </mc:Fallback>
        </mc:AlternateContent>
      </w:r>
      <w:r>
        <w:rPr>
          <w:rFonts w:hint="eastAsia"/>
          <w:color w:val="auto"/>
          <w:sz w:val="40"/>
          <w:szCs w:val="40"/>
        </w:rPr>
        <w:t>同济大学学生党支部“对标争先”项目建设</w:t>
      </w:r>
      <w:r>
        <w:rPr>
          <w:rFonts w:hint="eastAsia"/>
          <w:color w:val="auto"/>
          <w:sz w:val="40"/>
          <w:szCs w:val="40"/>
        </w:rPr>
        <w:br w:type="textWrapping"/>
      </w:r>
      <w:r>
        <w:rPr>
          <w:rFonts w:hint="eastAsia"/>
          <w:color w:val="auto"/>
          <w:sz w:val="40"/>
          <w:szCs w:val="40"/>
          <w:lang w:val="en-US" w:eastAsia="zh-CN"/>
        </w:rPr>
        <w:t>问答</w:t>
      </w:r>
      <w:r>
        <w:rPr>
          <w:rFonts w:hint="eastAsia"/>
          <w:color w:val="auto"/>
          <w:sz w:val="40"/>
          <w:szCs w:val="40"/>
        </w:rPr>
        <w:t>手册</w:t>
      </w:r>
    </w:p>
    <w:p w14:paraId="558F8D45">
      <w:pPr>
        <w:keepNext w:val="0"/>
        <w:keepLines w:val="0"/>
        <w:pageBreakBefore w:val="0"/>
        <w:widowControl/>
        <w:kinsoku/>
        <w:wordWrap/>
        <w:overflowPunct/>
        <w:topLinePunct w:val="0"/>
        <w:autoSpaceDE/>
        <w:autoSpaceDN/>
        <w:bidi w:val="0"/>
        <w:adjustRightInd w:val="0"/>
        <w:snapToGrid w:val="0"/>
        <w:spacing w:after="0"/>
        <w:textAlignment w:val="auto"/>
        <w:rPr>
          <w:rFonts w:hint="eastAsia"/>
        </w:rPr>
      </w:pPr>
    </w:p>
    <w:p w14:paraId="6DFF8656">
      <w:pPr>
        <w:keepNext w:val="0"/>
        <w:keepLines w:val="0"/>
        <w:pageBreakBefore w:val="0"/>
        <w:kinsoku/>
        <w:wordWrap/>
        <w:overflowPunct/>
        <w:topLinePunct w:val="0"/>
        <w:autoSpaceDE/>
        <w:autoSpaceDN/>
        <w:bidi w:val="0"/>
        <w:adjustRightInd w:val="0"/>
        <w:snapToGrid w:val="0"/>
        <w:spacing w:line="579" w:lineRule="exac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本手册依据“对标争先”建设项目申报通知</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项目管理要求</w:t>
      </w:r>
      <w:r>
        <w:rPr>
          <w:rFonts w:hint="eastAsia" w:ascii="仿宋_GB2312" w:hAnsi="仿宋_GB2312" w:eastAsia="仿宋_GB2312" w:cs="仿宋_GB2312"/>
          <w:color w:val="auto"/>
          <w:lang w:val="en-US" w:eastAsia="zh-CN"/>
        </w:rPr>
        <w:t>及</w:t>
      </w:r>
      <w:r>
        <w:rPr>
          <w:rFonts w:hint="eastAsia" w:ascii="仿宋_GB2312" w:hAnsi="仿宋_GB2312" w:eastAsia="仿宋_GB2312" w:cs="仿宋_GB2312"/>
          <w:color w:val="auto"/>
        </w:rPr>
        <w:t>同济大学财务报销相关规定制定，明确项目</w:t>
      </w:r>
      <w:r>
        <w:rPr>
          <w:rFonts w:hint="eastAsia" w:ascii="仿宋_GB2312" w:hAnsi="仿宋_GB2312" w:eastAsia="仿宋_GB2312" w:cs="仿宋_GB2312"/>
          <w:color w:val="auto"/>
          <w:lang w:val="en-US" w:eastAsia="zh-CN"/>
        </w:rPr>
        <w:t>建设整体流程，中期、</w:t>
      </w:r>
      <w:r>
        <w:rPr>
          <w:rFonts w:hint="eastAsia" w:ascii="仿宋_GB2312" w:hAnsi="仿宋_GB2312" w:eastAsia="仿宋_GB2312" w:cs="仿宋_GB2312"/>
          <w:color w:val="auto"/>
        </w:rPr>
        <w:t>结项</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报销的核心要求、实操规范及常见问题，供各支部使用。</w:t>
      </w:r>
    </w:p>
    <w:p w14:paraId="0124F6A9">
      <w:pPr>
        <w:pStyle w:val="2"/>
        <w:pageBreakBefore w:val="0"/>
        <w:kinsoku/>
        <w:wordWrap/>
        <w:autoSpaceDE/>
        <w:autoSpaceDN/>
        <w:bidi w:val="0"/>
        <w:spacing w:line="579" w:lineRule="exact"/>
        <w:textAlignment w:val="auto"/>
        <w:rPr>
          <w:rFonts w:hint="eastAsia"/>
          <w:color w:val="auto"/>
          <w:lang w:val="en-US" w:eastAsia="zh-CN"/>
        </w:rPr>
      </w:pPr>
      <w:r>
        <w:rPr>
          <w:rFonts w:hint="eastAsia"/>
          <w:color w:val="auto"/>
          <w:lang w:val="en-US" w:eastAsia="zh-CN"/>
        </w:rPr>
        <w:t>项目建设基本内容</w:t>
      </w:r>
    </w:p>
    <w:p w14:paraId="37D0D5B6">
      <w:pPr>
        <w:pStyle w:val="3"/>
        <w:pageBreakBefore w:val="0"/>
        <w:kinsoku/>
        <w:wordWrap/>
        <w:autoSpaceDE/>
        <w:autoSpaceDN/>
        <w:bidi w:val="0"/>
        <w:spacing w:line="579" w:lineRule="exact"/>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项目建设的整体流程是什么？</w:t>
      </w:r>
    </w:p>
    <w:p w14:paraId="3B1E7474">
      <w:pPr>
        <w:pStyle w:val="4"/>
        <w:pageBreakBefore w:val="0"/>
        <w:numPr>
          <w:ilvl w:val="0"/>
          <w:numId w:val="3"/>
        </w:numPr>
        <w:kinsoku/>
        <w:wordWrap/>
        <w:autoSpaceDE/>
        <w:autoSpaceDN/>
        <w:bidi w:val="0"/>
        <w:spacing w:line="579" w:lineRule="exact"/>
        <w:ind w:left="0" w:leftChars="0" w:firstLine="616" w:firstLineChars="0"/>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申报立项：学年度初，学校发布项目申报通知，各支部按照通知要求，申报对标争先项目，由学院审核后统一提交至学校。学校组织立项评审确定最终立项项目及等级，并发布立项通知；</w:t>
      </w:r>
    </w:p>
    <w:p w14:paraId="0C2F0374">
      <w:pPr>
        <w:pStyle w:val="4"/>
        <w:pageBreakBefore w:val="0"/>
        <w:numPr>
          <w:ilvl w:val="0"/>
          <w:numId w:val="3"/>
        </w:numPr>
        <w:kinsoku/>
        <w:wordWrap/>
        <w:autoSpaceDE/>
        <w:autoSpaceDN/>
        <w:bidi w:val="0"/>
        <w:spacing w:line="579" w:lineRule="exact"/>
        <w:ind w:left="0" w:leftChars="0" w:firstLine="616" w:firstLineChars="0"/>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执行项目：各立项支部按照申报书中的建设方案以及立项通知中的具体要求开展相关活动，并注意中期与结项的相关注意事项及时间节点；</w:t>
      </w:r>
    </w:p>
    <w:p w14:paraId="024904BC">
      <w:pPr>
        <w:pStyle w:val="4"/>
        <w:pageBreakBefore w:val="0"/>
        <w:numPr>
          <w:ilvl w:val="0"/>
          <w:numId w:val="3"/>
        </w:numPr>
        <w:kinsoku/>
        <w:wordWrap/>
        <w:autoSpaceDE/>
        <w:autoSpaceDN/>
        <w:bidi w:val="0"/>
        <w:spacing w:line="579" w:lineRule="exact"/>
        <w:ind w:left="0" w:leftChars="0" w:firstLine="616" w:firstLineChars="0"/>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中期报销：于12月上旬启动中期报销工作，届时会</w:t>
      </w:r>
      <w:r>
        <w:rPr>
          <w:rFonts w:hint="eastAsia" w:ascii="仿宋_GB2312" w:hAnsi="仿宋_GB2312" w:eastAsia="仿宋_GB2312" w:cs="仿宋_GB2312"/>
          <w:b/>
          <w:bCs/>
          <w:color w:val="auto"/>
          <w:lang w:val="en-US" w:eastAsia="zh-CN"/>
        </w:rPr>
        <w:t>发布报销通知</w:t>
      </w:r>
      <w:r>
        <w:rPr>
          <w:rFonts w:hint="eastAsia" w:ascii="仿宋_GB2312" w:hAnsi="仿宋_GB2312" w:eastAsia="仿宋_GB2312" w:cs="仿宋_GB2312"/>
          <w:color w:val="auto"/>
          <w:lang w:val="en-US" w:eastAsia="zh-CN"/>
        </w:rPr>
        <w:t>，各项目团队需要在截止时间之前，提交第一学期的报销材料；</w:t>
      </w:r>
    </w:p>
    <w:p w14:paraId="386AC946">
      <w:pPr>
        <w:pStyle w:val="4"/>
        <w:pageBreakBefore w:val="0"/>
        <w:numPr>
          <w:ilvl w:val="0"/>
          <w:numId w:val="3"/>
        </w:numPr>
        <w:kinsoku/>
        <w:wordWrap/>
        <w:autoSpaceDE/>
        <w:autoSpaceDN/>
        <w:bidi w:val="0"/>
        <w:spacing w:line="579" w:lineRule="exact"/>
        <w:ind w:left="0" w:leftChars="0" w:firstLine="616" w:firstLineChars="0"/>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继续执行项目：各立项支部根据第一阶段的建设经验，继续执行并完善项目建设；</w:t>
      </w:r>
    </w:p>
    <w:p w14:paraId="3AD41AC0">
      <w:pPr>
        <w:pStyle w:val="4"/>
        <w:pageBreakBefore w:val="0"/>
        <w:numPr>
          <w:ilvl w:val="0"/>
          <w:numId w:val="3"/>
        </w:numPr>
        <w:kinsoku/>
        <w:wordWrap/>
        <w:autoSpaceDE/>
        <w:autoSpaceDN/>
        <w:bidi w:val="0"/>
        <w:spacing w:line="579" w:lineRule="exact"/>
        <w:ind w:left="0" w:leftChars="0" w:firstLine="616" w:firstLineChars="0"/>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期满结项与报销：于下一年度6月初启动结项验收工作，届时会</w:t>
      </w:r>
      <w:r>
        <w:rPr>
          <w:rFonts w:hint="eastAsia" w:ascii="仿宋_GB2312" w:hAnsi="仿宋_GB2312" w:eastAsia="仿宋_GB2312" w:cs="仿宋_GB2312"/>
          <w:b/>
          <w:bCs/>
          <w:color w:val="auto"/>
          <w:lang w:val="en-US" w:eastAsia="zh-CN"/>
        </w:rPr>
        <w:t>发布结项与报销通知</w:t>
      </w:r>
      <w:r>
        <w:rPr>
          <w:rFonts w:hint="eastAsia" w:ascii="仿宋_GB2312" w:hAnsi="仿宋_GB2312" w:eastAsia="仿宋_GB2312" w:cs="仿宋_GB2312"/>
          <w:color w:val="auto"/>
          <w:lang w:val="en-US" w:eastAsia="zh-CN"/>
        </w:rPr>
        <w:t>，各项目团队需要在截止时间之前，按计划完成活动，启动结项工作；</w:t>
      </w:r>
    </w:p>
    <w:p w14:paraId="0A95B82A">
      <w:pPr>
        <w:pStyle w:val="4"/>
        <w:pageBreakBefore w:val="0"/>
        <w:numPr>
          <w:ilvl w:val="0"/>
          <w:numId w:val="3"/>
        </w:numPr>
        <w:kinsoku/>
        <w:wordWrap/>
        <w:autoSpaceDE/>
        <w:autoSpaceDN/>
        <w:bidi w:val="0"/>
        <w:spacing w:line="579" w:lineRule="exact"/>
        <w:ind w:left="0" w:leftChars="0" w:firstLine="616" w:firstLineChars="0"/>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总结与评优：学校组织对各个项目及其工作案例进行评优，根据项目期间提交的各项材料组织评审，评选优秀项目或案例，在学校七一主题党日活动中进行表彰，并在全校进行宣传。</w:t>
      </w:r>
    </w:p>
    <w:p w14:paraId="14EB1C62">
      <w:pPr>
        <w:pStyle w:val="3"/>
        <w:pageBreakBefore w:val="0"/>
        <w:kinsoku/>
        <w:wordWrap/>
        <w:autoSpaceDE/>
        <w:autoSpaceDN/>
        <w:bidi w:val="0"/>
        <w:spacing w:line="579" w:lineRule="exact"/>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各主体责任是什么？</w:t>
      </w:r>
    </w:p>
    <w:p w14:paraId="6FB092B3">
      <w:pPr>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对标争先建设活动中各主体的责任如图1所示。</w:t>
      </w:r>
    </w:p>
    <w:p w14:paraId="0FDB52EB">
      <w:pPr>
        <w:pStyle w:val="57"/>
        <w:keepNext w:val="0"/>
        <w:keepLines w:val="0"/>
        <w:pageBreakBefore w:val="0"/>
        <w:widowControl/>
        <w:kinsoku/>
        <w:wordWrap/>
        <w:overflowPunct w:val="0"/>
        <w:topLinePunct/>
        <w:autoSpaceDE/>
        <w:autoSpaceDN/>
        <w:bidi w:val="0"/>
        <w:adjustRightInd/>
        <w:snapToGrid/>
        <w:spacing w:line="240" w:lineRule="auto"/>
        <w:textAlignment w:val="auto"/>
        <w:rPr>
          <w:color w:val="auto"/>
        </w:rPr>
      </w:pPr>
      <w:r>
        <w:drawing>
          <wp:inline distT="0" distB="0" distL="114300" distR="114300">
            <wp:extent cx="5607685" cy="2573655"/>
            <wp:effectExtent l="0" t="0" r="5715" b="635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6"/>
                    <a:stretch>
                      <a:fillRect/>
                    </a:stretch>
                  </pic:blipFill>
                  <pic:spPr>
                    <a:xfrm>
                      <a:off x="0" y="0"/>
                      <a:ext cx="5607685" cy="2573655"/>
                    </a:xfrm>
                    <a:prstGeom prst="rect">
                      <a:avLst/>
                    </a:prstGeom>
                    <a:noFill/>
                    <a:ln>
                      <a:noFill/>
                    </a:ln>
                  </pic:spPr>
                </pic:pic>
              </a:graphicData>
            </a:graphic>
          </wp:inline>
        </w:drawing>
      </w:r>
    </w:p>
    <w:p w14:paraId="4E76FD30">
      <w:pPr>
        <w:pStyle w:val="57"/>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图1 对标争先建设活动各主体责任</w:t>
      </w:r>
    </w:p>
    <w:p w14:paraId="4F6191EB">
      <w:pPr>
        <w:pStyle w:val="3"/>
        <w:pageBreakBefore w:val="0"/>
        <w:kinsoku/>
        <w:wordWrap/>
        <w:autoSpaceDE/>
        <w:autoSpaceDN/>
        <w:bidi w:val="0"/>
        <w:ind w:firstLineChars="0"/>
        <w:textAlignment w:val="auto"/>
        <w:rPr>
          <w:rFonts w:hint="eastAsia"/>
          <w:lang w:val="en-US" w:eastAsia="zh-CN"/>
        </w:rPr>
      </w:pPr>
      <w:r>
        <w:rPr>
          <w:rFonts w:hint="eastAsia"/>
          <w:lang w:val="en-US" w:eastAsia="zh-CN"/>
        </w:rPr>
        <w:t>中期、结项与报销分别需要提交什么材料？</w:t>
      </w:r>
    </w:p>
    <w:p w14:paraId="3D7E80B1">
      <w:pPr>
        <w:pStyle w:val="4"/>
        <w:pageBreakBefore w:val="0"/>
        <w:numPr>
          <w:ilvl w:val="0"/>
          <w:numId w:val="4"/>
        </w:numPr>
        <w:kinsoku/>
        <w:wordWrap/>
        <w:autoSpaceDE/>
        <w:autoSpaceDN/>
        <w:bidi w:val="0"/>
        <w:spacing w:line="579" w:lineRule="exact"/>
        <w:ind w:left="0" w:leftChars="0" w:firstLine="616" w:firstLineChars="0"/>
        <w:textAlignment w:val="auto"/>
        <w:rPr>
          <w:rFonts w:hint="default"/>
          <w:lang w:val="en-US" w:eastAsia="zh-CN"/>
        </w:rPr>
      </w:pPr>
      <w:r>
        <w:rPr>
          <w:rFonts w:hint="eastAsia"/>
          <w:b/>
          <w:bCs/>
          <w:lang w:val="en-US" w:eastAsia="zh-CN"/>
        </w:rPr>
        <w:t>中期时</w:t>
      </w:r>
      <w:r>
        <w:rPr>
          <w:rFonts w:hint="eastAsia"/>
          <w:b w:val="0"/>
          <w:bCs w:val="0"/>
          <w:lang w:val="en-US" w:eastAsia="zh-CN"/>
        </w:rPr>
        <w:t>仅</w:t>
      </w:r>
      <w:r>
        <w:rPr>
          <w:rFonts w:hint="eastAsia"/>
          <w:lang w:val="en-US" w:eastAsia="zh-CN"/>
        </w:rPr>
        <w:t>提交</w:t>
      </w:r>
      <w:r>
        <w:rPr>
          <w:rFonts w:hint="eastAsia"/>
          <w:b/>
          <w:bCs/>
          <w:lang w:val="en-US" w:eastAsia="zh-CN"/>
        </w:rPr>
        <w:t>报销材料</w:t>
      </w:r>
      <w:r>
        <w:rPr>
          <w:rFonts w:hint="eastAsia"/>
          <w:b w:val="0"/>
          <w:bCs w:val="0"/>
          <w:lang w:val="en-US" w:eastAsia="zh-CN"/>
        </w:rPr>
        <w:t>，</w:t>
      </w:r>
      <w:r>
        <w:rPr>
          <w:rFonts w:hint="eastAsia" w:ascii="仿宋_GB2312" w:hAnsi="仿宋_GB2312" w:eastAsia="仿宋_GB2312"/>
          <w:b w:val="0"/>
          <w:bCs w:val="0"/>
          <w:color w:val="auto"/>
        </w:rPr>
        <w:t>中期可报销的额度不超过立项经费总额的</w:t>
      </w:r>
      <w:r>
        <w:rPr>
          <w:rFonts w:hint="eastAsia" w:ascii="仿宋_GB2312" w:hAnsi="仿宋_GB2312" w:eastAsia="仿宋_GB2312"/>
          <w:b/>
          <w:bCs/>
          <w:color w:val="auto"/>
        </w:rPr>
        <w:t>50%</w:t>
      </w:r>
      <w:r>
        <w:rPr>
          <w:rFonts w:hint="eastAsia"/>
        </w:rPr>
        <w:t>。</w:t>
      </w:r>
    </w:p>
    <w:p w14:paraId="1C012860">
      <w:pPr>
        <w:pStyle w:val="4"/>
        <w:pageBreakBefore w:val="0"/>
        <w:numPr>
          <w:ilvl w:val="0"/>
          <w:numId w:val="4"/>
        </w:numPr>
        <w:kinsoku/>
        <w:wordWrap/>
        <w:autoSpaceDE/>
        <w:autoSpaceDN/>
        <w:bidi w:val="0"/>
        <w:spacing w:line="579" w:lineRule="exact"/>
        <w:ind w:left="0" w:leftChars="0" w:firstLine="616" w:firstLineChars="0"/>
        <w:textAlignment w:val="auto"/>
        <w:rPr>
          <w:rFonts w:hint="eastAsia"/>
          <w:lang w:val="en-US" w:eastAsia="zh-CN"/>
        </w:rPr>
      </w:pPr>
      <w:r>
        <w:rPr>
          <w:rFonts w:hint="eastAsia"/>
          <w:b/>
          <w:bCs/>
          <w:lang w:val="en-US" w:eastAsia="zh-CN"/>
        </w:rPr>
        <w:t>结项时</w:t>
      </w:r>
      <w:r>
        <w:rPr>
          <w:rFonts w:hint="eastAsia"/>
          <w:lang w:val="en-US" w:eastAsia="zh-CN"/>
        </w:rPr>
        <w:t>应提交</w:t>
      </w:r>
      <w:r>
        <w:rPr>
          <w:rFonts w:hint="eastAsia"/>
          <w:b/>
          <w:bCs/>
          <w:lang w:val="en-US" w:eastAsia="zh-CN"/>
        </w:rPr>
        <w:t>报销材料</w:t>
      </w:r>
      <w:r>
        <w:rPr>
          <w:rFonts w:hint="eastAsia"/>
          <w:lang w:val="en-US" w:eastAsia="zh-CN"/>
        </w:rPr>
        <w:t>和</w:t>
      </w:r>
      <w:bookmarkStart w:id="0" w:name="_GoBack"/>
      <w:bookmarkEnd w:id="0"/>
      <w:r>
        <w:rPr>
          <w:rFonts w:hint="eastAsia"/>
          <w:b/>
          <w:bCs/>
          <w:lang w:val="en-US" w:eastAsia="zh-CN"/>
        </w:rPr>
        <w:t>工作案例</w:t>
      </w:r>
      <w:r>
        <w:rPr>
          <w:rFonts w:hint="eastAsia"/>
          <w:lang w:val="en-US" w:eastAsia="zh-CN"/>
        </w:rPr>
        <w:t>作为结项报告，工作案例是评优的重要依据，建议认真准备。</w:t>
      </w:r>
    </w:p>
    <w:p w14:paraId="1C123A49">
      <w:pPr>
        <w:pStyle w:val="4"/>
        <w:pageBreakBefore w:val="0"/>
        <w:numPr>
          <w:ilvl w:val="0"/>
          <w:numId w:val="4"/>
        </w:numPr>
        <w:kinsoku/>
        <w:wordWrap/>
        <w:autoSpaceDE/>
        <w:autoSpaceDN/>
        <w:bidi w:val="0"/>
        <w:spacing w:line="579" w:lineRule="exact"/>
        <w:ind w:left="0" w:leftChars="0" w:firstLine="616" w:firstLineChars="0"/>
        <w:textAlignment w:val="auto"/>
        <w:rPr>
          <w:rFonts w:hint="eastAsia"/>
          <w:lang w:val="en-US" w:eastAsia="zh-CN"/>
        </w:rPr>
      </w:pPr>
      <w:r>
        <w:rPr>
          <w:rFonts w:hint="eastAsia"/>
          <w:lang w:val="en-US" w:eastAsia="zh-CN"/>
        </w:rPr>
        <w:t>项目期间进行</w:t>
      </w:r>
      <w:r>
        <w:rPr>
          <w:rFonts w:hint="eastAsia"/>
          <w:b/>
          <w:bCs/>
          <w:lang w:val="en-US" w:eastAsia="zh-CN"/>
        </w:rPr>
        <w:t>两次报销</w:t>
      </w:r>
      <w:r>
        <w:rPr>
          <w:rFonts w:hint="eastAsia"/>
          <w:lang w:val="en-US" w:eastAsia="zh-CN"/>
        </w:rPr>
        <w:t>，</w:t>
      </w:r>
      <w:r>
        <w:rPr>
          <w:rFonts w:hint="default"/>
          <w:lang w:val="en-US" w:eastAsia="zh-CN"/>
        </w:rPr>
        <w:t>分别在项目中期和结项时</w:t>
      </w:r>
      <w:r>
        <w:rPr>
          <w:rFonts w:hint="eastAsia"/>
          <w:lang w:val="en-US" w:eastAsia="zh-CN"/>
        </w:rPr>
        <w:t>进行</w:t>
      </w:r>
      <w:r>
        <w:rPr>
          <w:rFonts w:hint="default"/>
          <w:lang w:val="en-US" w:eastAsia="zh-CN"/>
        </w:rPr>
        <w:t>，</w:t>
      </w:r>
      <w:r>
        <w:rPr>
          <w:rFonts w:hint="eastAsia"/>
          <w:lang w:val="en-US" w:eastAsia="zh-CN"/>
        </w:rPr>
        <w:t>报销材料的</w:t>
      </w:r>
      <w:r>
        <w:rPr>
          <w:rFonts w:hint="eastAsia"/>
          <w:b/>
          <w:bCs/>
          <w:lang w:val="en-US" w:eastAsia="zh-CN"/>
        </w:rPr>
        <w:t>具体要求见问题8</w:t>
      </w:r>
      <w:r>
        <w:rPr>
          <w:rFonts w:hint="eastAsia"/>
          <w:lang w:val="en-US" w:eastAsia="zh-CN"/>
        </w:rPr>
        <w:t>。</w:t>
      </w:r>
    </w:p>
    <w:p w14:paraId="5FC66BE9">
      <w:pPr>
        <w:pStyle w:val="4"/>
        <w:pageBreakBefore w:val="0"/>
        <w:numPr>
          <w:ilvl w:val="0"/>
          <w:numId w:val="4"/>
        </w:numPr>
        <w:kinsoku/>
        <w:wordWrap/>
        <w:autoSpaceDE/>
        <w:autoSpaceDN/>
        <w:bidi w:val="0"/>
        <w:spacing w:line="579" w:lineRule="exact"/>
        <w:ind w:left="0" w:leftChars="0" w:firstLine="616" w:firstLineChars="0"/>
        <w:textAlignment w:val="auto"/>
        <w:rPr>
          <w:rFonts w:hint="default"/>
          <w:lang w:val="en-US" w:eastAsia="zh-CN"/>
        </w:rPr>
      </w:pPr>
      <w:r>
        <w:rPr>
          <w:rFonts w:hint="default"/>
          <w:lang w:val="en-US" w:eastAsia="zh-CN"/>
        </w:rPr>
        <w:t>申报材料中预期得到的数字化成果及相关素材也应作为材料的一部分</w:t>
      </w:r>
      <w:r>
        <w:rPr>
          <w:rFonts w:hint="eastAsia"/>
          <w:lang w:val="en-US" w:eastAsia="zh-CN"/>
        </w:rPr>
        <w:t>提交</w:t>
      </w:r>
      <w:r>
        <w:rPr>
          <w:rFonts w:hint="default"/>
          <w:lang w:val="en-US" w:eastAsia="zh-CN"/>
        </w:rPr>
        <w:t>。鼓励各项目团队投稿至“支部书济”微信公众号进行宣传推广。</w:t>
      </w:r>
    </w:p>
    <w:p w14:paraId="1225DD7B">
      <w:pPr>
        <w:pStyle w:val="3"/>
        <w:pageBreakBefore w:val="0"/>
        <w:kinsoku/>
        <w:wordWrap/>
        <w:autoSpaceDE/>
        <w:autoSpaceDN/>
        <w:bidi w:val="0"/>
        <w:spacing w:line="579" w:lineRule="exact"/>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材料有哪些签章要求？</w:t>
      </w:r>
    </w:p>
    <w:p w14:paraId="657A919B">
      <w:pPr>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bCs/>
          <w:color w:val="auto"/>
          <w:lang w:val="en-US" w:eastAsia="zh-CN"/>
        </w:rPr>
        <w:t>项目申请表、决算报告、信封正反面等位置均</w:t>
      </w:r>
      <w:r>
        <w:rPr>
          <w:rFonts w:hint="eastAsia" w:ascii="仿宋_GB2312" w:hAnsi="仿宋_GB2312" w:eastAsia="仿宋_GB2312" w:cs="仿宋_GB2312"/>
          <w:color w:val="auto"/>
          <w:lang w:val="en-US" w:eastAsia="zh-CN"/>
        </w:rPr>
        <w:t>需</w:t>
      </w:r>
      <w:r>
        <w:rPr>
          <w:rFonts w:hint="eastAsia" w:ascii="仿宋_GB2312" w:hAnsi="仿宋_GB2312" w:eastAsia="仿宋_GB2312" w:cs="仿宋_GB2312"/>
          <w:b w:val="0"/>
          <w:bCs w:val="0"/>
          <w:color w:val="auto"/>
          <w:lang w:val="en-US" w:eastAsia="zh-CN"/>
        </w:rPr>
        <w:t>按要求进行签字盖章</w:t>
      </w:r>
      <w:r>
        <w:rPr>
          <w:rFonts w:hint="eastAsia" w:ascii="仿宋_GB2312" w:hAnsi="仿宋_GB2312" w:eastAsia="仿宋_GB2312" w:cs="仿宋_GB2312"/>
          <w:color w:val="auto"/>
          <w:lang w:val="en-US" w:eastAsia="zh-CN"/>
        </w:rPr>
        <w:t>，无完整签章的材料将予以退回。盖章应符合规范要求，印章端正、居中下压签名和日期。报销专用信封使用封条密封后，也应签字并</w:t>
      </w:r>
      <w:r>
        <w:rPr>
          <w:rFonts w:hint="eastAsia" w:ascii="仿宋_GB2312" w:hAnsi="仿宋_GB2312" w:eastAsia="仿宋_GB2312" w:cs="仿宋_GB2312"/>
          <w:b w:val="0"/>
          <w:bCs w:val="0"/>
          <w:color w:val="auto"/>
          <w:lang w:val="en-US" w:eastAsia="zh-CN"/>
        </w:rPr>
        <w:t>加盖骑缝公章</w:t>
      </w:r>
      <w:r>
        <w:rPr>
          <w:rFonts w:hint="eastAsia" w:ascii="仿宋_GB2312" w:hAnsi="仿宋_GB2312" w:eastAsia="仿宋_GB2312" w:cs="仿宋_GB2312"/>
          <w:color w:val="auto"/>
          <w:lang w:val="en-US" w:eastAsia="zh-CN"/>
        </w:rPr>
        <w:t>。</w:t>
      </w:r>
    </w:p>
    <w:p w14:paraId="09013EFF">
      <w:pPr>
        <w:pStyle w:val="3"/>
        <w:pageBreakBefore w:val="0"/>
        <w:kinsoku/>
        <w:wordWrap/>
        <w:autoSpaceDE/>
        <w:autoSpaceDN/>
        <w:bidi w:val="0"/>
        <w:spacing w:line="579" w:lineRule="exact"/>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未按时提交材料/材料不符合要求会有什么影响？</w:t>
      </w:r>
    </w:p>
    <w:p w14:paraId="7930882B">
      <w:pPr>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审核部门将对未按时提交材料的团队进行统一催办，对材料不符合要求的团队注明具体问题，并反馈至支部要求补正、整改材料。逾期仍未提交或多次整改仍不符合要求的，视为结项不合格，取消该支部后续参与“对标争先”项目申报资格，且已使用经费将按学校规定追缴。</w:t>
      </w:r>
    </w:p>
    <w:p w14:paraId="0F0070B7">
      <w:pPr>
        <w:pStyle w:val="2"/>
        <w:pageBreakBefore w:val="0"/>
        <w:kinsoku/>
        <w:wordWrap/>
        <w:autoSpaceDE/>
        <w:autoSpaceDN/>
        <w:bidi w:val="0"/>
        <w:spacing w:line="579" w:lineRule="exact"/>
        <w:textAlignment w:val="auto"/>
        <w:rPr>
          <w:rFonts w:hint="eastAsia"/>
          <w:color w:val="auto"/>
          <w:lang w:val="en-US" w:eastAsia="zh-CN"/>
        </w:rPr>
      </w:pPr>
      <w:r>
        <w:rPr>
          <w:rFonts w:hint="eastAsia"/>
          <w:color w:val="auto"/>
          <w:lang w:val="en-US" w:eastAsia="zh-CN"/>
        </w:rPr>
        <w:t>经费使用与报销规范</w:t>
      </w:r>
    </w:p>
    <w:p w14:paraId="5B8E86CD">
      <w:pPr>
        <w:pStyle w:val="3"/>
        <w:pageBreakBefore w:val="0"/>
        <w:kinsoku/>
        <w:wordWrap/>
        <w:autoSpaceDE/>
        <w:autoSpaceDN/>
        <w:bidi w:val="0"/>
        <w:spacing w:line="579" w:lineRule="exact"/>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经费使用原则</w:t>
      </w:r>
    </w:p>
    <w:p w14:paraId="6EE1D006">
      <w:pPr>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遵循勤俭节约、专款专用原则，经费使用严格匹配项目申报计划，不得超立项额度报销，</w:t>
      </w:r>
      <w:r>
        <w:rPr>
          <w:rFonts w:hint="eastAsia" w:ascii="仿宋_GB2312" w:hAnsi="仿宋_GB2312" w:eastAsia="仿宋_GB2312" w:cs="仿宋_GB2312"/>
          <w:b/>
          <w:bCs/>
          <w:color w:val="auto"/>
          <w:lang w:val="en-US" w:eastAsia="zh-CN"/>
        </w:rPr>
        <w:t>超额部分不予报销</w:t>
      </w:r>
      <w:r>
        <w:rPr>
          <w:rFonts w:hint="eastAsia" w:ascii="仿宋_GB2312" w:hAnsi="仿宋_GB2312" w:eastAsia="仿宋_GB2312" w:cs="仿宋_GB2312"/>
          <w:color w:val="auto"/>
          <w:lang w:val="en-US" w:eastAsia="zh-CN"/>
        </w:rPr>
        <w:t>；不得挪作他用，避免铺张浪费。</w:t>
      </w:r>
    </w:p>
    <w:p w14:paraId="4CF3E5C6">
      <w:pPr>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b w:val="0"/>
          <w:bCs w:val="0"/>
          <w:color w:val="auto"/>
          <w:lang w:val="en-US" w:eastAsia="zh-CN"/>
        </w:rPr>
        <w:t>不得使用经费发放纪念品、礼品等；不得使用经费进行私人聚餐、桌游、KTV 等纯娱乐性活动；不得使用项目资金支持各种罚款、捐款、赞助、投资等；</w:t>
      </w:r>
      <w:r>
        <w:rPr>
          <w:rFonts w:hint="eastAsia" w:ascii="仿宋_GB2312" w:hAnsi="仿宋_GB2312" w:eastAsia="仿宋_GB2312" w:cs="仿宋_GB2312"/>
          <w:color w:val="auto"/>
          <w:lang w:val="en-US" w:eastAsia="zh-CN"/>
        </w:rPr>
        <w:t>不得利用虚假票据套取资金</w:t>
      </w:r>
      <w:r>
        <w:rPr>
          <w:rFonts w:hint="eastAsia" w:ascii="仿宋_GB2312" w:hAnsi="仿宋_GB2312" w:eastAsia="仿宋_GB2312" w:cs="仿宋_GB2312"/>
          <w:b w:val="0"/>
          <w:bCs w:val="0"/>
          <w:color w:val="auto"/>
          <w:lang w:val="en-US" w:eastAsia="zh-CN"/>
        </w:rPr>
        <w:t>；</w:t>
      </w:r>
      <w:r>
        <w:rPr>
          <w:rFonts w:hint="eastAsia" w:ascii="仿宋_GB2312" w:hAnsi="仿宋_GB2312" w:eastAsia="仿宋_GB2312" w:cs="仿宋_GB2312"/>
          <w:color w:val="auto"/>
          <w:lang w:val="en-US" w:eastAsia="zh-CN"/>
        </w:rPr>
        <w:t>不得</w:t>
      </w:r>
      <w:r>
        <w:rPr>
          <w:rFonts w:hint="eastAsia" w:ascii="仿宋_GB2312" w:hAnsi="仿宋_GB2312" w:eastAsia="仿宋_GB2312" w:cs="仿宋_GB2312"/>
          <w:b w:val="0"/>
          <w:bCs w:val="0"/>
          <w:color w:val="auto"/>
          <w:lang w:val="en-US" w:eastAsia="zh-CN"/>
        </w:rPr>
        <w:t>列支个人和家庭消费支出</w:t>
      </w:r>
      <w:r>
        <w:rPr>
          <w:rFonts w:hint="eastAsia" w:ascii="仿宋_GB2312" w:hAnsi="仿宋_GB2312" w:eastAsia="仿宋_GB2312" w:cs="仿宋_GB2312"/>
          <w:color w:val="auto"/>
          <w:lang w:val="en-US" w:eastAsia="zh-CN"/>
        </w:rPr>
        <w:t>；</w:t>
      </w:r>
      <w:r>
        <w:rPr>
          <w:rFonts w:hint="eastAsia" w:ascii="仿宋_GB2312" w:hAnsi="仿宋_GB2312" w:eastAsia="仿宋_GB2312" w:cs="仿宋_GB2312"/>
          <w:b w:val="0"/>
          <w:bCs w:val="0"/>
          <w:color w:val="auto"/>
          <w:lang w:val="en-US" w:eastAsia="zh-CN"/>
        </w:rPr>
        <w:t>不得</w:t>
      </w:r>
      <w:r>
        <w:rPr>
          <w:rFonts w:hint="eastAsia" w:ascii="仿宋_GB2312" w:hAnsi="仿宋_GB2312" w:eastAsia="仿宋_GB2312" w:cs="仿宋_GB2312"/>
          <w:color w:val="auto"/>
          <w:lang w:val="en-US" w:eastAsia="zh-CN"/>
        </w:rPr>
        <w:t>购买与学生党建活动无关的物品、设备。</w:t>
      </w:r>
    </w:p>
    <w:p w14:paraId="4606627A">
      <w:pPr>
        <w:pageBreakBefore w:val="0"/>
        <w:kinsoku/>
        <w:wordWrap/>
        <w:autoSpaceDE/>
        <w:autoSpaceDN/>
        <w:bidi w:val="0"/>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根据财务处规定，财务票据的报销责任自报销经办人将经过审批的报销票据提交至财务处之时起，项目负责人、报销经办人、项目指导老师等有关人员的相关责任就即时赋予。对于弄虚作假等违规报销行为，学校将按规章制度追究相关人员的责任。指导老师应加强对学生的教育，遵守财务管理规范。</w:t>
      </w:r>
    </w:p>
    <w:p w14:paraId="266F34ED">
      <w:pPr>
        <w:pStyle w:val="3"/>
        <w:pageBreakBefore w:val="0"/>
        <w:kinsoku/>
        <w:wordWrap/>
        <w:autoSpaceDE/>
        <w:autoSpaceDN/>
        <w:bidi w:val="0"/>
        <w:spacing w:line="579" w:lineRule="exact"/>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报销形式和范围是什么？</w:t>
      </w:r>
    </w:p>
    <w:p w14:paraId="6CC59337">
      <w:pPr>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对标争先活动使用学生活动费支出凭证专用信封报销，经费按核算金额拨付至项目负责人银行卡，请准确填写信封上的负责人姓名与学号/工号，并确保财务系统中负责人已绑定银行卡与开户行信息。</w:t>
      </w:r>
    </w:p>
    <w:p w14:paraId="17BEBC45">
      <w:pPr>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学生活动专用信封不支持对公转账的报销方式，若存在该支出，请先行进行垫付，或与商家协商报销后再进行支付。</w:t>
      </w:r>
    </w:p>
    <w:p w14:paraId="3EA7D55C">
      <w:pPr>
        <w:pStyle w:val="4"/>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学生活动专用信封的报销范围仅为学生活动费用，支出费用类型包括文件资料印刷费、会场费用、交通费、住宿费、工作简餐、舞台音响灯光、服装费用及其他费用。发票开具时间应在活动开展期间。</w:t>
      </w:r>
    </w:p>
    <w:p w14:paraId="271C4EC8">
      <w:pPr>
        <w:pStyle w:val="3"/>
        <w:pageBreakBefore w:val="0"/>
        <w:kinsoku/>
        <w:wordWrap/>
        <w:autoSpaceDE/>
        <w:autoSpaceDN/>
        <w:bidi w:val="0"/>
        <w:spacing w:line="579" w:lineRule="exact"/>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报销材料的内容有什么要求？</w:t>
      </w:r>
    </w:p>
    <w:p w14:paraId="702B312B">
      <w:pPr>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rPr>
        <w:t>①</w:t>
      </w:r>
      <w:r>
        <w:rPr>
          <w:rFonts w:hint="eastAsia" w:ascii="仿宋_GB2312" w:hAnsi="仿宋_GB2312" w:eastAsia="仿宋_GB2312" w:cs="仿宋_GB2312"/>
          <w:color w:val="auto"/>
          <w:lang w:val="en-US" w:eastAsia="zh-CN"/>
        </w:rPr>
        <w:t>经费决算报告（一式两份，签章完整）</w:t>
      </w:r>
      <w:r>
        <w:rPr>
          <w:rFonts w:hint="eastAsia" w:ascii="仿宋_GB2312" w:hAnsi="仿宋_GB2312" w:eastAsia="仿宋_GB2312" w:cs="仿宋_GB2312"/>
          <w:color w:val="auto"/>
          <w:lang w:val="en-US"/>
        </w:rPr>
        <w:t>；②装入</w:t>
      </w:r>
      <w:r>
        <w:rPr>
          <w:rFonts w:hint="eastAsia" w:ascii="仿宋_GB2312" w:hAnsi="仿宋_GB2312" w:eastAsia="仿宋_GB2312" w:cs="仿宋_GB2312"/>
          <w:color w:val="auto"/>
          <w:lang w:val="en-US" w:eastAsia="zh-CN"/>
        </w:rPr>
        <w:t>专用</w:t>
      </w:r>
      <w:r>
        <w:rPr>
          <w:rFonts w:hint="eastAsia" w:ascii="仿宋_GB2312" w:hAnsi="仿宋_GB2312" w:eastAsia="仿宋_GB2312" w:cs="仿宋_GB2312"/>
          <w:color w:val="auto"/>
          <w:lang w:val="en-US"/>
        </w:rPr>
        <w:t>信封的</w:t>
      </w:r>
      <w:r>
        <w:rPr>
          <w:rFonts w:hint="eastAsia" w:ascii="仿宋_GB2312" w:hAnsi="仿宋_GB2312" w:eastAsia="仿宋_GB2312" w:cs="仿宋_GB2312"/>
          <w:color w:val="auto"/>
          <w:lang w:val="en-US" w:eastAsia="zh-CN"/>
        </w:rPr>
        <w:t>发票及支付记录、物品/服务清单等财务相关附件</w:t>
      </w:r>
      <w:r>
        <w:rPr>
          <w:rFonts w:hint="eastAsia" w:ascii="仿宋_GB2312" w:hAnsi="仿宋_GB2312" w:eastAsia="仿宋_GB2312" w:cs="仿宋_GB2312"/>
          <w:color w:val="auto"/>
          <w:lang w:val="en-US"/>
        </w:rPr>
        <w:t>；</w:t>
      </w:r>
      <w:r>
        <w:rPr>
          <w:rFonts w:hint="eastAsia" w:ascii="仿宋_GB2312" w:hAnsi="仿宋_GB2312" w:eastAsia="仿宋_GB2312" w:cs="仿宋_GB2312"/>
          <w:color w:val="auto"/>
          <w:lang w:val="en-US" w:eastAsia="zh-CN"/>
        </w:rPr>
        <w:t>③不装入信封的活动相关材料；④报销</w:t>
      </w:r>
      <w:r>
        <w:rPr>
          <w:rFonts w:hint="eastAsia" w:ascii="仿宋_GB2312" w:hAnsi="仿宋_GB2312" w:eastAsia="仿宋_GB2312" w:cs="仿宋_GB2312"/>
          <w:color w:val="auto"/>
          <w:lang w:val="en-US"/>
        </w:rPr>
        <w:t>自查对照表</w:t>
      </w:r>
      <w:r>
        <w:rPr>
          <w:rFonts w:hint="eastAsia" w:ascii="仿宋_GB2312" w:hAnsi="仿宋_GB2312" w:eastAsia="仿宋_GB2312" w:cs="仿宋_GB2312"/>
          <w:color w:val="auto"/>
          <w:lang w:val="en-US" w:eastAsia="zh-CN"/>
        </w:rPr>
        <w:t>。</w:t>
      </w:r>
    </w:p>
    <w:p w14:paraId="222B1217">
      <w:pPr>
        <w:pageBreakBefore w:val="0"/>
        <w:kinsoku/>
        <w:wordWrap/>
        <w:autoSpaceDE/>
        <w:autoSpaceDN/>
        <w:bidi w:val="0"/>
        <w:spacing w:line="579" w:lineRule="exact"/>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其中，①④均提供统一模板，须严格参照模板要求逐项认真填写；②专用信封为学生活动费支出凭证专用信封（附带封条），由学院统一在工作日前往学生处思政科领取；③所指的其他附加材料中，必须提供活动通知和参与活动人员名单，此外如适用，应提供奖品签收单等材料。活动通知、参与活动人员名单、奖品签收单可参考图2。</w:t>
      </w:r>
    </w:p>
    <w:p w14:paraId="623D51F8">
      <w:pPr>
        <w:pStyle w:val="57"/>
        <w:keepNext w:val="0"/>
        <w:keepLines w:val="0"/>
        <w:pageBreakBefore w:val="0"/>
        <w:widowControl/>
        <w:kinsoku/>
        <w:wordWrap/>
        <w:overflowPunct w:val="0"/>
        <w:topLinePunct/>
        <w:autoSpaceDE/>
        <w:autoSpaceDN/>
        <w:bidi w:val="0"/>
        <w:adjustRightInd/>
        <w:snapToGrid/>
        <w:spacing w:line="240" w:lineRule="auto"/>
        <w:textAlignment w:val="auto"/>
        <w:rPr>
          <w:color w:val="auto"/>
        </w:rPr>
      </w:pPr>
      <w:r>
        <w:rPr>
          <w:color w:val="auto"/>
        </w:rPr>
        <w:drawing>
          <wp:inline distT="0" distB="0" distL="114300" distR="114300">
            <wp:extent cx="1671955" cy="2160270"/>
            <wp:effectExtent l="0" t="0" r="1270" b="9525"/>
            <wp:docPr id="9" name="图片 9" descr="8b9e0a260faf28ee093658c57c1812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8b9e0a260faf28ee093658c57c18129a"/>
                    <pic:cNvPicPr>
                      <a:picLocks noChangeAspect="1"/>
                    </pic:cNvPicPr>
                  </pic:nvPicPr>
                  <pic:blipFill>
                    <a:blip r:embed="rId7"/>
                    <a:stretch>
                      <a:fillRect/>
                    </a:stretch>
                  </pic:blipFill>
                  <pic:spPr>
                    <a:xfrm>
                      <a:off x="0" y="0"/>
                      <a:ext cx="1671955" cy="2160270"/>
                    </a:xfrm>
                    <a:prstGeom prst="rect">
                      <a:avLst/>
                    </a:prstGeom>
                  </pic:spPr>
                </pic:pic>
              </a:graphicData>
            </a:graphic>
          </wp:inline>
        </w:drawing>
      </w:r>
      <w:r>
        <w:rPr>
          <w:color w:val="auto"/>
        </w:rPr>
        <w:drawing>
          <wp:inline distT="0" distB="0" distL="114300" distR="114300">
            <wp:extent cx="1711325" cy="2160270"/>
            <wp:effectExtent l="0" t="0" r="5080"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a:srcRect t="2175" r="59633"/>
                    <a:stretch>
                      <a:fillRect/>
                    </a:stretch>
                  </pic:blipFill>
                  <pic:spPr>
                    <a:xfrm>
                      <a:off x="0" y="0"/>
                      <a:ext cx="1711325" cy="2160270"/>
                    </a:xfrm>
                    <a:prstGeom prst="rect">
                      <a:avLst/>
                    </a:prstGeom>
                    <a:noFill/>
                    <a:ln>
                      <a:noFill/>
                    </a:ln>
                  </pic:spPr>
                </pic:pic>
              </a:graphicData>
            </a:graphic>
          </wp:inline>
        </w:drawing>
      </w:r>
      <w:r>
        <w:rPr>
          <w:color w:val="auto"/>
        </w:rPr>
        <w:drawing>
          <wp:inline distT="0" distB="0" distL="114300" distR="114300">
            <wp:extent cx="1800860" cy="2160270"/>
            <wp:effectExtent l="0" t="0" r="1905"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8"/>
                    <a:srcRect l="57059" t="5439" r="8706" b="1433"/>
                    <a:stretch>
                      <a:fillRect/>
                    </a:stretch>
                  </pic:blipFill>
                  <pic:spPr>
                    <a:xfrm>
                      <a:off x="0" y="0"/>
                      <a:ext cx="1800860" cy="2160270"/>
                    </a:xfrm>
                    <a:prstGeom prst="rect">
                      <a:avLst/>
                    </a:prstGeom>
                    <a:noFill/>
                    <a:ln>
                      <a:noFill/>
                    </a:ln>
                  </pic:spPr>
                </pic:pic>
              </a:graphicData>
            </a:graphic>
          </wp:inline>
        </w:drawing>
      </w:r>
    </w:p>
    <w:p w14:paraId="2D27BC11">
      <w:pPr>
        <w:pStyle w:val="57"/>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图2 活动通知、参与活动人员名单、奖品签收单相关示例</w:t>
      </w:r>
    </w:p>
    <w:p w14:paraId="1290C59A">
      <w:pPr>
        <w:pStyle w:val="3"/>
        <w:pageBreakBefore w:val="0"/>
        <w:kinsoku/>
        <w:wordWrap/>
        <w:autoSpaceDE/>
        <w:autoSpaceDN/>
        <w:bidi w:val="0"/>
        <w:spacing w:line="579" w:lineRule="exact"/>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发票的基础要求是什么？</w:t>
      </w:r>
    </w:p>
    <w:p w14:paraId="0FC93F71">
      <w:pPr>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非定额发票的购买方或付款人名称（抬头）必须填写“同济大学”，不得空白，纳税人识别号为12100000425006125J，具体信息可见同济大学财务处官方网站。</w:t>
      </w:r>
    </w:p>
    <w:p w14:paraId="63A12D83">
      <w:pPr>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出现以下情况的发票属于无效发票，不予报销：①抬头、税号错误或缺失的；②金额超限但未能提供附件的；③发票信息模糊、涂改、破损的；④无发票专用章或公章的；⑤票据类型与实际支出不符的；⑥非项目活动相关的；⑦其他不符合国家发票管理规定和同济大学财务要求的。</w:t>
      </w:r>
    </w:p>
    <w:p w14:paraId="4E3D09C3">
      <w:pPr>
        <w:pStyle w:val="3"/>
        <w:pageBreakBefore w:val="0"/>
        <w:kinsoku/>
        <w:wordWrap/>
        <w:autoSpaceDE/>
        <w:autoSpaceDN/>
        <w:bidi w:val="0"/>
        <w:spacing w:line="579" w:lineRule="exact"/>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什么情况下需要额外提供财务相关附件？</w:t>
      </w:r>
    </w:p>
    <w:p w14:paraId="073C5BE8">
      <w:pPr>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①发票面额≥500元：发票应包含明细，否则需另提供由对方单位盖章的清单；②发票面额＞1000元：除上述要求外，还需附加支付记录（微信/支付宝/银行卡付款截图，内含付款人、付款时间、金额、收款方）。</w:t>
      </w:r>
    </w:p>
    <w:p w14:paraId="15928333">
      <w:pPr>
        <w:pStyle w:val="3"/>
        <w:pageBreakBefore w:val="0"/>
        <w:kinsoku/>
        <w:wordWrap/>
        <w:autoSpaceDE/>
        <w:autoSpaceDN/>
        <w:bidi w:val="0"/>
        <w:spacing w:line="579" w:lineRule="exact"/>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专用信封封装要求是什么？</w:t>
      </w:r>
    </w:p>
    <w:p w14:paraId="7E5BE7A0">
      <w:pPr>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所有报销票据及附件需按“报销票据—相关附件”的顺序逐条整理，并装入专用信封，信封表面信息填写完整；支部提交至学院时无需密封，学院审核通过后统一盖章密封，与其他结项材料一起交至学工部。具体要求见图3。</w:t>
      </w:r>
    </w:p>
    <w:p w14:paraId="5CA851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rPr>
      </w:pPr>
      <w:r>
        <w:rPr>
          <w:color w:val="auto"/>
        </w:rPr>
        <w:drawing>
          <wp:inline distT="0" distB="0" distL="114300" distR="114300">
            <wp:extent cx="3456305" cy="2191385"/>
            <wp:effectExtent l="0" t="0" r="889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lum bright="6000"/>
                    </a:blip>
                    <a:stretch>
                      <a:fillRect/>
                    </a:stretch>
                  </pic:blipFill>
                  <pic:spPr>
                    <a:xfrm>
                      <a:off x="0" y="0"/>
                      <a:ext cx="3456305" cy="2191385"/>
                    </a:xfrm>
                    <a:prstGeom prst="rect">
                      <a:avLst/>
                    </a:prstGeom>
                    <a:noFill/>
                    <a:ln>
                      <a:noFill/>
                    </a:ln>
                  </pic:spPr>
                </pic:pic>
              </a:graphicData>
            </a:graphic>
          </wp:inline>
        </w:drawing>
      </w:r>
    </w:p>
    <w:p w14:paraId="370855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rPr>
      </w:pPr>
      <w:r>
        <w:rPr>
          <w:color w:val="auto"/>
        </w:rPr>
        <w:drawing>
          <wp:inline distT="0" distB="0" distL="114300" distR="114300">
            <wp:extent cx="3456305" cy="1821815"/>
            <wp:effectExtent l="0" t="0" r="8890" b="254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0"/>
                    <a:srcRect b="8641"/>
                    <a:stretch>
                      <a:fillRect/>
                    </a:stretch>
                  </pic:blipFill>
                  <pic:spPr>
                    <a:xfrm>
                      <a:off x="0" y="0"/>
                      <a:ext cx="3456305" cy="1821815"/>
                    </a:xfrm>
                    <a:prstGeom prst="rect">
                      <a:avLst/>
                    </a:prstGeom>
                    <a:noFill/>
                    <a:ln>
                      <a:noFill/>
                    </a:ln>
                  </pic:spPr>
                </pic:pic>
              </a:graphicData>
            </a:graphic>
          </wp:inline>
        </w:drawing>
      </w:r>
    </w:p>
    <w:p w14:paraId="39770B8C">
      <w:pPr>
        <w:pStyle w:val="57"/>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图3 专用信封的使用要求</w:t>
      </w:r>
    </w:p>
    <w:p w14:paraId="4097B183">
      <w:pPr>
        <w:pStyle w:val="2"/>
        <w:pageBreakBefore w:val="0"/>
        <w:kinsoku/>
        <w:wordWrap/>
        <w:autoSpaceDE/>
        <w:autoSpaceDN/>
        <w:bidi w:val="0"/>
        <w:spacing w:line="579" w:lineRule="exact"/>
        <w:textAlignment w:val="auto"/>
        <w:rPr>
          <w:rFonts w:hint="eastAsia"/>
          <w:color w:val="auto"/>
          <w:lang w:val="en-US" w:eastAsia="zh-CN"/>
        </w:rPr>
      </w:pPr>
      <w:r>
        <w:rPr>
          <w:rFonts w:hint="eastAsia"/>
          <w:color w:val="auto"/>
          <w:lang w:val="en-US" w:eastAsia="zh-CN"/>
        </w:rPr>
        <w:t>各类别支出的特殊要求</w:t>
      </w:r>
    </w:p>
    <w:p w14:paraId="2A19BC73">
      <w:pPr>
        <w:pStyle w:val="3"/>
        <w:pageBreakBefore w:val="0"/>
        <w:kinsoku/>
        <w:wordWrap/>
        <w:autoSpaceDE/>
        <w:autoSpaceDN/>
        <w:bidi w:val="0"/>
        <w:spacing w:line="579" w:lineRule="exact"/>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交通费用报销有哪些特殊要求？</w:t>
      </w:r>
    </w:p>
    <w:p w14:paraId="5D1AF43B">
      <w:pPr>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①网约车发票：必须附带对应行程单，行程单需标注出发地、目的地、乘车时间、金额，与发票信息一致；②出租车、地铁等纸质交通发票：必须提供原件，复印件无效，票据需清晰可辨，无涂改、破损；③交通卡充值发票不予报销；④公共交通发票需与项目活动时间、地点匹配，非项目相关交通费用不予报销。</w:t>
      </w:r>
    </w:p>
    <w:p w14:paraId="475D7002">
      <w:pPr>
        <w:pStyle w:val="3"/>
        <w:pageBreakBefore w:val="0"/>
        <w:kinsoku/>
        <w:wordWrap/>
        <w:autoSpaceDE/>
        <w:autoSpaceDN/>
        <w:bidi w:val="0"/>
        <w:spacing w:line="579" w:lineRule="exact"/>
        <w:textAlignment w:val="auto"/>
        <w:rPr>
          <w:rFonts w:hint="eastAsia"/>
          <w:color w:val="auto"/>
          <w:lang w:val="en-US" w:eastAsia="zh-CN"/>
        </w:rPr>
      </w:pPr>
      <w:r>
        <w:rPr>
          <w:rFonts w:hint="eastAsia"/>
          <w:color w:val="auto"/>
          <w:lang w:val="en-US" w:eastAsia="zh-CN"/>
        </w:rPr>
        <w:t>物品类发票有哪些特殊要求？</w:t>
      </w:r>
    </w:p>
    <w:p w14:paraId="6D0F8AAB">
      <w:pPr>
        <w:pStyle w:val="4"/>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①活动中产生的服装、书籍、笔记本等物品，需要附加经物资领取者签字的人员名单，且人员数量应与票据上的数量保持一致。②物资采购需贴合项目活动需求，不得采购与项目无关的礼品、奢侈品等；③书籍类发票应在发票明细中标明图书名称，书籍主题应与活动内容直接相关，符合正确的价值导向。</w:t>
      </w:r>
    </w:p>
    <w:p w14:paraId="3AE10D4F">
      <w:pPr>
        <w:pStyle w:val="3"/>
        <w:pageBreakBefore w:val="0"/>
        <w:kinsoku/>
        <w:wordWrap/>
        <w:autoSpaceDE/>
        <w:autoSpaceDN/>
        <w:bidi w:val="0"/>
        <w:spacing w:line="579" w:lineRule="exact"/>
        <w:textAlignment w:val="auto"/>
        <w:rPr>
          <w:rFonts w:hint="eastAsia"/>
          <w:color w:val="auto"/>
          <w:lang w:val="en-US" w:eastAsia="zh-CN"/>
        </w:rPr>
      </w:pPr>
      <w:r>
        <w:rPr>
          <w:rFonts w:hint="eastAsia"/>
          <w:color w:val="auto"/>
          <w:lang w:val="en-US" w:eastAsia="zh-CN"/>
        </w:rPr>
        <w:t>工作简餐费用报销有哪些特殊要求？</w:t>
      </w:r>
    </w:p>
    <w:p w14:paraId="566C4D69">
      <w:pPr>
        <w:pageBreakBefore w:val="0"/>
        <w:kinsoku/>
        <w:wordWrap/>
        <w:autoSpaceDE/>
        <w:autoSpaceDN/>
        <w:bidi w:val="0"/>
        <w:spacing w:line="579" w:lineRule="exact"/>
        <w:textAlignment w:val="auto"/>
        <w:rPr>
          <w:rFonts w:hint="eastAsia"/>
          <w:color w:val="auto"/>
          <w:lang w:val="en-US" w:eastAsia="zh-CN"/>
        </w:rPr>
      </w:pPr>
      <w:r>
        <w:rPr>
          <w:rFonts w:hint="eastAsia" w:ascii="仿宋_GB2312" w:hAnsi="仿宋_GB2312" w:eastAsia="仿宋_GB2312" w:cs="仿宋_GB2312"/>
          <w:color w:val="auto"/>
          <w:lang w:val="en-US" w:eastAsia="zh-CN"/>
        </w:rPr>
        <w:t>①尽量避免餐饮类支出，将经费投入到对学生成长发展有益的地方，确有需求的需保证餐饮费用与项目活动直接相关，不得报销无实际活动的餐饮支出；②餐饮发票需附加经用餐人签字的用餐名单，注明用餐时间、地点、事由；③工作简餐费用原则上人均不超过30元。</w:t>
      </w:r>
    </w:p>
    <w:p w14:paraId="0C85225D">
      <w:pPr>
        <w:pStyle w:val="3"/>
        <w:pageBreakBefore w:val="0"/>
        <w:kinsoku/>
        <w:wordWrap/>
        <w:autoSpaceDE/>
        <w:autoSpaceDN/>
        <w:bidi w:val="0"/>
        <w:spacing w:line="579" w:lineRule="exact"/>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奖品类发票的报销要求是什么？</w:t>
      </w:r>
    </w:p>
    <w:p w14:paraId="4B8A9EC8">
      <w:pPr>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①尽量避免发放奖品，因组织竞赛等活动产生的必要激励性奖励可少量发放奖品，奖品不能发放给全体参加活动的成员，严禁直接发放纪念品、礼品等；②发放奖品时需制作奖品签收单，注明奖品名称、发放对象、发放时间，由领取人签字确认，签收人数与奖品购买数相一致，无签收单的奖品费用不予报销；</w:t>
      </w:r>
    </w:p>
    <w:p w14:paraId="20349103">
      <w:pPr>
        <w:pStyle w:val="3"/>
        <w:pageBreakBefore w:val="0"/>
        <w:kinsoku/>
        <w:wordWrap/>
        <w:autoSpaceDE/>
        <w:autoSpaceDN/>
        <w:bidi w:val="0"/>
        <w:spacing w:line="579" w:lineRule="exact"/>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其他类支出有没有特殊要求？</w:t>
      </w:r>
    </w:p>
    <w:p w14:paraId="7FB44868">
      <w:pPr>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经费不支持发放评审费、劳务费、专家咨询费、勤工助学费等人员酬金，若有相关需求请提前联系学生处负责老师。</w:t>
      </w:r>
    </w:p>
    <w:p w14:paraId="08E5A7FA">
      <w:pPr>
        <w:pStyle w:val="2"/>
        <w:pageBreakBefore w:val="0"/>
        <w:kinsoku/>
        <w:wordWrap/>
        <w:autoSpaceDE/>
        <w:autoSpaceDN/>
        <w:bidi w:val="0"/>
        <w:spacing w:line="579" w:lineRule="exact"/>
        <w:textAlignment w:val="auto"/>
        <w:rPr>
          <w:rFonts w:hint="eastAsia"/>
          <w:color w:val="auto"/>
          <w:lang w:val="en-US" w:eastAsia="zh-CN"/>
        </w:rPr>
      </w:pPr>
      <w:r>
        <w:rPr>
          <w:rFonts w:hint="eastAsia"/>
          <w:color w:val="auto"/>
          <w:lang w:val="en-US" w:eastAsia="zh-CN"/>
        </w:rPr>
        <w:t>常见问题</w:t>
      </w:r>
    </w:p>
    <w:p w14:paraId="67D68EEA">
      <w:pPr>
        <w:pStyle w:val="3"/>
        <w:pageBreakBefore w:val="0"/>
        <w:kinsoku/>
        <w:wordWrap/>
        <w:autoSpaceDE/>
        <w:autoSpaceDN/>
        <w:bidi w:val="0"/>
        <w:spacing w:line="579" w:lineRule="exact"/>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学院审核过程中重点核对哪些内容？</w:t>
      </w:r>
    </w:p>
    <w:p w14:paraId="3BC3F4EB">
      <w:pPr>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①结项材料及其签章的完整性；②发票抬头、税号、金额的准确性；③发票总金额是否无误，是否超立项额度；④附件（活动通知、支付记录、清单、签收单等）的完整性、匹配性；⑤经费使用与项目申报计划的一致性。</w:t>
      </w:r>
    </w:p>
    <w:p w14:paraId="50ADC1BF">
      <w:pPr>
        <w:pStyle w:val="3"/>
        <w:pageBreakBefore w:val="0"/>
        <w:kinsoku/>
        <w:wordWrap/>
        <w:autoSpaceDE/>
        <w:autoSpaceDN/>
        <w:bidi w:val="0"/>
        <w:spacing w:line="579" w:lineRule="exact"/>
        <w:textAlignment w:val="auto"/>
        <w:rPr>
          <w:rFonts w:hint="eastAsia"/>
          <w:color w:val="auto"/>
          <w:lang w:val="en-US" w:eastAsia="zh-CN"/>
        </w:rPr>
      </w:pPr>
      <w:r>
        <w:rPr>
          <w:rFonts w:hint="eastAsia" w:ascii="楷体_GB2312" w:hAnsi="楷体_GB2312" w:eastAsia="楷体_GB2312" w:cs="楷体_GB2312"/>
          <w:color w:val="auto"/>
          <w:lang w:val="en-US" w:eastAsia="zh-CN"/>
        </w:rPr>
        <w:t>项目开展时，哪些材料需要提前留存以备报</w:t>
      </w:r>
      <w:r>
        <w:rPr>
          <w:rFonts w:hint="eastAsia"/>
          <w:color w:val="auto"/>
          <w:lang w:val="en-US" w:eastAsia="zh-CN"/>
        </w:rPr>
        <w:t>销？</w:t>
      </w:r>
    </w:p>
    <w:p w14:paraId="25EBE5BF">
      <w:pPr>
        <w:pageBreakBefore w:val="0"/>
        <w:kinsoku/>
        <w:wordWrap/>
        <w:autoSpaceDE/>
        <w:autoSpaceDN/>
        <w:bidi w:val="0"/>
        <w:spacing w:line="579" w:lineRule="exact"/>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需全程留存活动通知、参与人员名单、现场照片、发票、付款截图、物品/服务清单、各类签收单等材料，所有材料需与项目活动时间、内容一一对应，做到可追溯、可核查。建议项目团队按要求提前筹备相关材料，避免临期匆忙准备导致差错。</w:t>
      </w:r>
    </w:p>
    <w:p w14:paraId="4F904900">
      <w:pPr>
        <w:pStyle w:val="3"/>
        <w:pageBreakBefore w:val="0"/>
        <w:kinsoku/>
        <w:wordWrap/>
        <w:autoSpaceDE/>
        <w:autoSpaceDN/>
        <w:bidi w:val="0"/>
        <w:spacing w:line="579" w:lineRule="exact"/>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跨支部联合开展的项目，该如何结项？</w:t>
      </w:r>
    </w:p>
    <w:p w14:paraId="6E9FE542">
      <w:pPr>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跨支部联合项目由牵头支部统一整理结项材料和报销票据，按一个项目进行申报，经费报销至牵头支部指定经办人。</w:t>
      </w:r>
    </w:p>
    <w:p w14:paraId="23BC33B0">
      <w:pPr>
        <w:pStyle w:val="2"/>
        <w:pageBreakBefore w:val="0"/>
        <w:kinsoku/>
        <w:wordWrap/>
        <w:autoSpaceDE/>
        <w:autoSpaceDN/>
        <w:bidi w:val="0"/>
        <w:spacing w:line="579" w:lineRule="exact"/>
        <w:textAlignment w:val="auto"/>
        <w:rPr>
          <w:rFonts w:hint="eastAsia"/>
          <w:color w:val="auto"/>
          <w:lang w:val="en-US" w:eastAsia="zh-CN"/>
        </w:rPr>
      </w:pPr>
      <w:r>
        <w:rPr>
          <w:rFonts w:hint="eastAsia"/>
          <w:color w:val="auto"/>
          <w:lang w:val="en-US" w:eastAsia="zh-CN"/>
        </w:rPr>
        <w:t>其他</w:t>
      </w:r>
    </w:p>
    <w:p w14:paraId="4620563F">
      <w:pPr>
        <w:pStyle w:val="4"/>
        <w:pageBreakBefore w:val="0"/>
        <w:kinsoku/>
        <w:wordWrap/>
        <w:autoSpaceDE/>
        <w:autoSpaceDN/>
        <w:bidi w:val="0"/>
        <w:spacing w:line="579" w:lineRule="exact"/>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未尽事宜，可参见《同济大学报销手册》。</w:t>
      </w:r>
    </w:p>
    <w:sectPr>
      <w:pgSz w:w="11906" w:h="16838"/>
      <w:pgMar w:top="2098" w:right="1531" w:bottom="1984" w:left="153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16"/>
      </w:pPr>
      <w:r>
        <w:separator/>
      </w:r>
    </w:p>
  </w:endnote>
  <w:endnote w:type="continuationSeparator" w:id="1">
    <w:p>
      <w:pPr>
        <w:spacing w:line="240" w:lineRule="auto"/>
        <w:ind w:firstLine="61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B2"/>
    <w:family w:val="auto"/>
    <w:pitch w:val="default"/>
    <w:sig w:usb0="E0000AFF" w:usb1="00007843" w:usb2="00000001" w:usb3="00000000" w:csb0="400001BF" w:csb1="DFF7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16"/>
      </w:pPr>
      <w:r>
        <w:separator/>
      </w:r>
    </w:p>
  </w:footnote>
  <w:footnote w:type="continuationSeparator" w:id="1">
    <w:p>
      <w:pPr>
        <w:spacing w:line="240" w:lineRule="auto"/>
        <w:ind w:firstLine="616"/>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A34B52"/>
    <w:multiLevelType w:val="multilevel"/>
    <w:tmpl w:val="D4A34B52"/>
    <w:lvl w:ilvl="0" w:tentative="0">
      <w:start w:val="1"/>
      <w:numFmt w:val="chineseCounting"/>
      <w:pStyle w:val="2"/>
      <w:suff w:val="nothing"/>
      <w:lvlText w:val="%1、"/>
      <w:lvlJc w:val="left"/>
      <w:pPr>
        <w:ind w:left="0" w:firstLine="40"/>
      </w:pPr>
      <w:rPr>
        <w:rFonts w:hint="eastAsia"/>
      </w:rPr>
    </w:lvl>
    <w:lvl w:ilvl="1" w:tentative="0">
      <w:start w:val="1"/>
      <w:numFmt w:val="decimal"/>
      <w:lvlRestart w:val="0"/>
      <w:pStyle w:val="3"/>
      <w:suff w:val="nothing"/>
      <w:lvlText w:val="问题%2: "/>
      <w:lvlJc w:val="left"/>
      <w:pPr>
        <w:tabs>
          <w:tab w:val="left" w:pos="0"/>
        </w:tabs>
        <w:ind w:left="0" w:firstLine="40"/>
      </w:pPr>
      <w:rPr>
        <w:rFonts w:hint="eastAsia"/>
      </w:rPr>
    </w:lvl>
    <w:lvl w:ilvl="2" w:tentative="0">
      <w:start w:val="1"/>
      <w:numFmt w:val="decimal"/>
      <w:pStyle w:val="5"/>
      <w:suff w:val="nothing"/>
      <w:lvlText w:val="%3．"/>
      <w:lvlJc w:val="left"/>
      <w:pPr>
        <w:ind w:left="0" w:firstLine="40"/>
      </w:pPr>
      <w:rPr>
        <w:rFonts w:hint="eastAsia"/>
      </w:rPr>
    </w:lvl>
    <w:lvl w:ilvl="3" w:tentative="0">
      <w:start w:val="1"/>
      <w:numFmt w:val="decimal"/>
      <w:pStyle w:val="6"/>
      <w:suff w:val="nothing"/>
      <w:lvlText w:val="（%4）"/>
      <w:lvlJc w:val="left"/>
      <w:pPr>
        <w:ind w:left="0" w:firstLine="40"/>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abstractNum w:abstractNumId="1">
    <w:nsid w:val="E7EFDA60"/>
    <w:multiLevelType w:val="singleLevel"/>
    <w:tmpl w:val="E7EFDA60"/>
    <w:lvl w:ilvl="0" w:tentative="0">
      <w:start w:val="1"/>
      <w:numFmt w:val="decimal"/>
      <w:suff w:val="space"/>
      <w:lvlText w:val="%1."/>
      <w:lvlJc w:val="left"/>
      <w:pPr>
        <w:ind w:left="0" w:firstLine="616"/>
      </w:pPr>
    </w:lvl>
  </w:abstractNum>
  <w:abstractNum w:abstractNumId="2">
    <w:nsid w:val="00000001"/>
    <w:multiLevelType w:val="singleLevel"/>
    <w:tmpl w:val="00000001"/>
    <w:lvl w:ilvl="0" w:tentative="0">
      <w:start w:val="1"/>
      <w:numFmt w:val="bullet"/>
      <w:pStyle w:val="15"/>
      <w:lvlText w:val=""/>
      <w:lvlJc w:val="left"/>
      <w:pPr>
        <w:tabs>
          <w:tab w:val="left" w:pos="1200"/>
        </w:tabs>
        <w:ind w:left="1200" w:hanging="360"/>
      </w:pPr>
      <w:rPr>
        <w:rFonts w:hint="default" w:ascii="Wingdings" w:hAnsi="Wingdings"/>
      </w:rPr>
    </w:lvl>
  </w:abstractNum>
  <w:abstractNum w:abstractNumId="3">
    <w:nsid w:val="0DFE4982"/>
    <w:multiLevelType w:val="singleLevel"/>
    <w:tmpl w:val="0DFE4982"/>
    <w:lvl w:ilvl="0" w:tentative="0">
      <w:start w:val="1"/>
      <w:numFmt w:val="decimal"/>
      <w:suff w:val="space"/>
      <w:lvlText w:val="%1."/>
      <w:lvlJc w:val="left"/>
      <w:pPr>
        <w:ind w:left="0" w:firstLine="616"/>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8C76D9"/>
    <w:rsid w:val="05E769C9"/>
    <w:rsid w:val="0B8C63B4"/>
    <w:rsid w:val="0D456D74"/>
    <w:rsid w:val="0E0802A4"/>
    <w:rsid w:val="0F490B74"/>
    <w:rsid w:val="15E53CBD"/>
    <w:rsid w:val="1C3B3861"/>
    <w:rsid w:val="1F173C0E"/>
    <w:rsid w:val="21FD18B0"/>
    <w:rsid w:val="28670D4A"/>
    <w:rsid w:val="337F3651"/>
    <w:rsid w:val="3ADF4460"/>
    <w:rsid w:val="3D701DC7"/>
    <w:rsid w:val="41EA4FEF"/>
    <w:rsid w:val="43964C9F"/>
    <w:rsid w:val="4C41097D"/>
    <w:rsid w:val="569A16FA"/>
    <w:rsid w:val="59FB3352"/>
    <w:rsid w:val="5C1B51FC"/>
    <w:rsid w:val="5E0B3F22"/>
    <w:rsid w:val="60A56859"/>
    <w:rsid w:val="63100901"/>
    <w:rsid w:val="63F7386F"/>
    <w:rsid w:val="6F5D6170"/>
    <w:rsid w:val="708851D3"/>
    <w:rsid w:val="7BA7A729"/>
    <w:rsid w:val="7FDD766A"/>
    <w:rsid w:val="7FFF70C4"/>
    <w:rsid w:val="AD277DF6"/>
    <w:rsid w:val="B9F6B9CE"/>
    <w:rsid w:val="C77C7EC9"/>
    <w:rsid w:val="F9DCE1E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76" w:lineRule="exact"/>
      <w:ind w:firstLine="1454" w:firstLineChars="200"/>
      <w:jc w:val="both"/>
    </w:pPr>
    <w:rPr>
      <w:rFonts w:ascii="仿宋" w:hAnsi="仿宋" w:eastAsia="仿宋" w:cs="Times New Roman"/>
      <w:color w:val="auto"/>
      <w:spacing w:val="-6"/>
      <w:kern w:val="2"/>
      <w:sz w:val="32"/>
      <w:szCs w:val="32"/>
      <w:lang w:val="en-US" w:eastAsia="zh-CN" w:bidi="ar-SA"/>
    </w:rPr>
  </w:style>
  <w:style w:type="paragraph" w:styleId="2">
    <w:name w:val="heading 1"/>
    <w:next w:val="1"/>
    <w:qFormat/>
    <w:uiPriority w:val="0"/>
    <w:pPr>
      <w:keepNext/>
      <w:keepLines/>
      <w:pageBreakBefore w:val="0"/>
      <w:widowControl/>
      <w:numPr>
        <w:ilvl w:val="0"/>
        <w:numId w:val="1"/>
      </w:numPr>
      <w:tabs>
        <w:tab w:val="left" w:pos="0"/>
      </w:tabs>
      <w:kinsoku/>
      <w:wordWrap/>
      <w:overflowPunct/>
      <w:topLinePunct w:val="0"/>
      <w:autoSpaceDE/>
      <w:autoSpaceDN/>
      <w:bidi w:val="0"/>
      <w:adjustRightInd w:val="0"/>
      <w:snapToGrid w:val="0"/>
      <w:spacing w:line="576" w:lineRule="exact"/>
      <w:ind w:left="0" w:leftChars="0" w:firstLine="640" w:firstLineChars="200"/>
      <w:textAlignment w:val="auto"/>
      <w:outlineLvl w:val="0"/>
    </w:pPr>
    <w:rPr>
      <w:rFonts w:ascii="黑体" w:hAnsi="黑体" w:eastAsia="黑体" w:cs="Times New Roman"/>
      <w:color w:val="auto"/>
      <w:kern w:val="44"/>
      <w:sz w:val="32"/>
      <w:szCs w:val="32"/>
      <w:lang w:val="en-US" w:eastAsia="zh-CN" w:bidi="ar-SA"/>
    </w:rPr>
  </w:style>
  <w:style w:type="paragraph" w:styleId="3">
    <w:name w:val="heading 2"/>
    <w:next w:val="4"/>
    <w:link w:val="60"/>
    <w:qFormat/>
    <w:uiPriority w:val="0"/>
    <w:pPr>
      <w:keepNext/>
      <w:keepLines/>
      <w:pageBreakBefore w:val="0"/>
      <w:widowControl/>
      <w:numPr>
        <w:ilvl w:val="1"/>
        <w:numId w:val="1"/>
      </w:numPr>
      <w:kinsoku/>
      <w:wordWrap/>
      <w:overflowPunct/>
      <w:topLinePunct w:val="0"/>
      <w:autoSpaceDE/>
      <w:autoSpaceDN/>
      <w:bidi w:val="0"/>
      <w:adjustRightInd w:val="0"/>
      <w:snapToGrid w:val="0"/>
      <w:spacing w:line="576" w:lineRule="exact"/>
      <w:ind w:left="0" w:leftChars="0" w:firstLine="643" w:firstLineChars="200"/>
      <w:textAlignment w:val="auto"/>
      <w:outlineLvl w:val="1"/>
    </w:pPr>
    <w:rPr>
      <w:rFonts w:ascii="楷体" w:hAnsi="楷体" w:eastAsia="楷体" w:cs="Times New Roman"/>
      <w:b/>
      <w:bCs/>
      <w:color w:val="auto"/>
      <w:sz w:val="32"/>
      <w:szCs w:val="32"/>
      <w:lang w:val="en-US" w:eastAsia="zh-CN" w:bidi="ar-SA"/>
    </w:rPr>
  </w:style>
  <w:style w:type="paragraph" w:styleId="5">
    <w:name w:val="heading 3"/>
    <w:next w:val="4"/>
    <w:qFormat/>
    <w:uiPriority w:val="0"/>
    <w:pPr>
      <w:keepNext/>
      <w:keepLines/>
      <w:numPr>
        <w:ilvl w:val="2"/>
        <w:numId w:val="1"/>
      </w:numPr>
      <w:tabs>
        <w:tab w:val="left" w:pos="312"/>
      </w:tabs>
      <w:adjustRightInd w:val="0"/>
      <w:snapToGrid w:val="0"/>
      <w:spacing w:line="576" w:lineRule="exact"/>
      <w:ind w:firstLine="40" w:firstLineChars="0"/>
      <w:outlineLvl w:val="2"/>
    </w:pPr>
    <w:rPr>
      <w:rFonts w:ascii="仿宋" w:hAnsi="仿宋" w:eastAsia="仿宋" w:cs="Times New Roman"/>
      <w:color w:val="auto"/>
      <w:sz w:val="32"/>
      <w:szCs w:val="32"/>
      <w:lang w:val="en-US" w:eastAsia="zh-CN" w:bidi="ar-SA"/>
    </w:rPr>
  </w:style>
  <w:style w:type="paragraph" w:styleId="6">
    <w:name w:val="heading 4"/>
    <w:next w:val="4"/>
    <w:link w:val="45"/>
    <w:qFormat/>
    <w:uiPriority w:val="0"/>
    <w:pPr>
      <w:keepNext/>
      <w:keepLines/>
      <w:numPr>
        <w:ilvl w:val="3"/>
        <w:numId w:val="1"/>
      </w:numPr>
      <w:adjustRightInd w:val="0"/>
      <w:snapToGrid w:val="0"/>
      <w:spacing w:line="576" w:lineRule="exact"/>
      <w:ind w:firstLine="40" w:firstLineChars="0"/>
      <w:outlineLvl w:val="3"/>
    </w:pPr>
    <w:rPr>
      <w:rFonts w:ascii="仿宋" w:hAnsi="仿宋" w:eastAsia="仿宋" w:cs="Times New Roman"/>
      <w:color w:val="auto"/>
      <w:sz w:val="32"/>
      <w:szCs w:val="32"/>
      <w:lang w:val="en-US" w:eastAsia="zh-CN" w:bidi="ar-SA"/>
    </w:rPr>
  </w:style>
  <w:style w:type="paragraph" w:styleId="7">
    <w:name w:val="heading 5"/>
    <w:next w:val="4"/>
    <w:qFormat/>
    <w:uiPriority w:val="0"/>
    <w:pPr>
      <w:numPr>
        <w:ilvl w:val="4"/>
        <w:numId w:val="1"/>
      </w:numPr>
      <w:tabs>
        <w:tab w:val="left" w:pos="0"/>
      </w:tabs>
      <w:adjustRightInd w:val="0"/>
      <w:snapToGrid w:val="0"/>
      <w:spacing w:line="576" w:lineRule="exact"/>
      <w:ind w:firstLine="402" w:firstLineChars="0"/>
      <w:outlineLvl w:val="4"/>
    </w:pPr>
    <w:rPr>
      <w:rFonts w:ascii="仿宋" w:hAnsi="仿宋" w:eastAsia="仿宋" w:cs="Times New Roman"/>
      <w:color w:val="auto"/>
      <w:sz w:val="32"/>
      <w:szCs w:val="32"/>
      <w:lang w:val="en-US" w:eastAsia="zh-CN" w:bidi="ar-SA"/>
    </w:rPr>
  </w:style>
  <w:style w:type="paragraph" w:styleId="8">
    <w:name w:val="heading 6"/>
    <w:next w:val="4"/>
    <w:qFormat/>
    <w:uiPriority w:val="0"/>
    <w:pPr>
      <w:numPr>
        <w:ilvl w:val="5"/>
        <w:numId w:val="1"/>
      </w:numPr>
      <w:adjustRightInd w:val="0"/>
      <w:snapToGrid w:val="0"/>
      <w:spacing w:line="576" w:lineRule="exact"/>
      <w:ind w:firstLine="402" w:firstLineChars="0"/>
      <w:outlineLvl w:val="5"/>
    </w:pPr>
    <w:rPr>
      <w:rFonts w:ascii="仿宋" w:hAnsi="仿宋" w:eastAsia="仿宋" w:cs="Times New Roman"/>
      <w:color w:val="auto"/>
      <w:sz w:val="32"/>
      <w:szCs w:val="32"/>
      <w:lang w:val="en-US" w:eastAsia="zh-CN" w:bidi="ar-SA"/>
    </w:rPr>
  </w:style>
  <w:style w:type="paragraph" w:styleId="9">
    <w:name w:val="heading 7"/>
    <w:next w:val="4"/>
    <w:qFormat/>
    <w:uiPriority w:val="0"/>
    <w:pPr>
      <w:numPr>
        <w:ilvl w:val="6"/>
        <w:numId w:val="1"/>
      </w:numPr>
      <w:adjustRightInd w:val="0"/>
      <w:snapToGrid w:val="0"/>
      <w:spacing w:line="576" w:lineRule="exact"/>
      <w:ind w:firstLine="402" w:firstLineChars="0"/>
      <w:outlineLvl w:val="6"/>
    </w:pPr>
    <w:rPr>
      <w:rFonts w:ascii="仿宋" w:hAnsi="仿宋" w:eastAsia="仿宋" w:cs="Times New Roman"/>
      <w:color w:val="auto"/>
      <w:sz w:val="32"/>
      <w:szCs w:val="32"/>
      <w:lang w:val="en-US" w:eastAsia="zh-CN" w:bidi="ar-SA"/>
    </w:rPr>
  </w:style>
  <w:style w:type="paragraph" w:styleId="10">
    <w:name w:val="heading 8"/>
    <w:next w:val="4"/>
    <w:qFormat/>
    <w:uiPriority w:val="0"/>
    <w:pPr>
      <w:numPr>
        <w:ilvl w:val="7"/>
        <w:numId w:val="1"/>
      </w:numPr>
      <w:adjustRightInd w:val="0"/>
      <w:snapToGrid w:val="0"/>
      <w:spacing w:line="576" w:lineRule="exact"/>
      <w:ind w:firstLine="402" w:firstLineChars="0"/>
      <w:outlineLvl w:val="7"/>
    </w:pPr>
    <w:rPr>
      <w:rFonts w:ascii="仿宋" w:hAnsi="仿宋" w:eastAsia="仿宋" w:cs="Times New Roman"/>
      <w:color w:val="auto"/>
      <w:sz w:val="32"/>
      <w:szCs w:val="32"/>
      <w:lang w:val="en-US" w:eastAsia="zh-CN" w:bidi="ar-SA"/>
    </w:rPr>
  </w:style>
  <w:style w:type="paragraph" w:styleId="11">
    <w:name w:val="heading 9"/>
    <w:next w:val="4"/>
    <w:qFormat/>
    <w:uiPriority w:val="0"/>
    <w:pPr>
      <w:numPr>
        <w:ilvl w:val="8"/>
        <w:numId w:val="1"/>
      </w:numPr>
      <w:adjustRightInd w:val="0"/>
      <w:snapToGrid w:val="0"/>
      <w:spacing w:line="576" w:lineRule="exact"/>
      <w:ind w:firstLine="402" w:firstLineChars="0"/>
      <w:outlineLvl w:val="8"/>
    </w:pPr>
    <w:rPr>
      <w:rFonts w:ascii="仿宋" w:hAnsi="仿宋" w:eastAsia="仿宋" w:cs="Times New Roman"/>
      <w:color w:val="auto"/>
      <w:sz w:val="32"/>
      <w:szCs w:val="32"/>
      <w:lang w:val="en-US" w:eastAsia="zh-CN" w:bidi="ar-SA"/>
    </w:rPr>
  </w:style>
  <w:style w:type="character" w:default="1" w:styleId="35">
    <w:name w:val="Default Paragraph Font"/>
    <w:qFormat/>
    <w:uiPriority w:val="1"/>
  </w:style>
  <w:style w:type="table" w:default="1" w:styleId="33">
    <w:name w:val="Normal Table"/>
    <w:qFormat/>
    <w:uiPriority w:val="0"/>
    <w:tblPr>
      <w:tblCellMar>
        <w:top w:w="0" w:type="dxa"/>
        <w:left w:w="108" w:type="dxa"/>
        <w:bottom w:w="0" w:type="dxa"/>
        <w:right w:w="108" w:type="dxa"/>
      </w:tblCellMar>
    </w:tblPr>
  </w:style>
  <w:style w:type="paragraph" w:styleId="4">
    <w:name w:val="Body Text"/>
    <w:link w:val="54"/>
    <w:qFormat/>
    <w:uiPriority w:val="0"/>
    <w:pPr>
      <w:adjustRightInd w:val="0"/>
      <w:snapToGrid w:val="0"/>
      <w:spacing w:line="576" w:lineRule="exact"/>
      <w:ind w:firstLine="630" w:firstLineChars="200"/>
    </w:pPr>
    <w:rPr>
      <w:rFonts w:ascii="仿宋" w:hAnsi="仿宋" w:eastAsia="仿宋" w:cs="Times New Roman"/>
      <w:color w:val="auto"/>
      <w:spacing w:val="-6"/>
      <w:sz w:val="32"/>
      <w:szCs w:val="32"/>
      <w:lang w:val="en-US" w:eastAsia="zh-CN" w:bidi="ar-SA"/>
    </w:rPr>
  </w:style>
  <w:style w:type="paragraph" w:styleId="12">
    <w:name w:val="caption"/>
    <w:basedOn w:val="1"/>
    <w:next w:val="1"/>
    <w:qFormat/>
    <w:uiPriority w:val="0"/>
    <w:pPr>
      <w:ind w:firstLine="0" w:firstLineChars="0"/>
    </w:pPr>
    <w:rPr>
      <w:rFonts w:cs="仿宋"/>
      <w:sz w:val="20"/>
    </w:rPr>
  </w:style>
  <w:style w:type="paragraph" w:styleId="13">
    <w:name w:val="annotation text"/>
    <w:basedOn w:val="1"/>
    <w:qFormat/>
    <w:uiPriority w:val="0"/>
    <w:pPr>
      <w:jc w:val="left"/>
    </w:pPr>
    <w:rPr>
      <w:color w:val="262626"/>
    </w:rPr>
  </w:style>
  <w:style w:type="paragraph" w:styleId="14">
    <w:name w:val="Salutation"/>
    <w:basedOn w:val="1"/>
    <w:next w:val="1"/>
    <w:qFormat/>
    <w:uiPriority w:val="0"/>
    <w:pPr>
      <w:ind w:firstLine="0" w:firstLineChars="0"/>
    </w:pPr>
    <w:rPr>
      <w:color w:val="auto"/>
    </w:rPr>
  </w:style>
  <w:style w:type="paragraph" w:styleId="15">
    <w:name w:val="List Bullet 3"/>
    <w:basedOn w:val="1"/>
    <w:qFormat/>
    <w:uiPriority w:val="0"/>
    <w:pPr>
      <w:numPr>
        <w:ilvl w:val="0"/>
        <w:numId w:val="2"/>
      </w:numPr>
    </w:pPr>
    <w:rPr>
      <w:color w:val="262626"/>
    </w:rPr>
  </w:style>
  <w:style w:type="paragraph" w:styleId="16">
    <w:name w:val="toc 5"/>
    <w:basedOn w:val="1"/>
    <w:next w:val="1"/>
    <w:qFormat/>
    <w:uiPriority w:val="0"/>
    <w:pPr>
      <w:ind w:left="1680" w:leftChars="800"/>
    </w:pPr>
    <w:rPr>
      <w:color w:val="262626"/>
    </w:rPr>
  </w:style>
  <w:style w:type="paragraph" w:styleId="17">
    <w:name w:val="toc 3"/>
    <w:basedOn w:val="1"/>
    <w:next w:val="1"/>
    <w:qFormat/>
    <w:uiPriority w:val="0"/>
    <w:pPr>
      <w:ind w:left="840" w:leftChars="400"/>
    </w:pPr>
    <w:rPr>
      <w:color w:val="262626"/>
    </w:rPr>
  </w:style>
  <w:style w:type="paragraph" w:styleId="18">
    <w:name w:val="Plain Text"/>
    <w:basedOn w:val="1"/>
    <w:qFormat/>
    <w:uiPriority w:val="0"/>
    <w:rPr>
      <w:rFonts w:ascii="宋体" w:hAnsi="Courier New"/>
      <w:snapToGrid w:val="0"/>
      <w:color w:val="262626"/>
      <w:kern w:val="0"/>
      <w:sz w:val="20"/>
      <w:szCs w:val="21"/>
      <w:lang w:val="zh-CN"/>
    </w:rPr>
  </w:style>
  <w:style w:type="paragraph" w:styleId="19">
    <w:name w:val="Date"/>
    <w:basedOn w:val="1"/>
    <w:next w:val="1"/>
    <w:qFormat/>
    <w:uiPriority w:val="0"/>
    <w:pPr>
      <w:ind w:firstLine="0" w:firstLineChars="0"/>
      <w:jc w:val="right"/>
    </w:pPr>
    <w:rPr>
      <w:color w:val="262626"/>
    </w:rPr>
  </w:style>
  <w:style w:type="paragraph" w:styleId="20">
    <w:name w:val="endnote text"/>
    <w:basedOn w:val="1"/>
    <w:qFormat/>
    <w:uiPriority w:val="0"/>
    <w:pPr>
      <w:jc w:val="left"/>
    </w:pPr>
    <w:rPr>
      <w:color w:val="262626"/>
    </w:rPr>
  </w:style>
  <w:style w:type="paragraph" w:styleId="21">
    <w:name w:val="Balloon Text"/>
    <w:basedOn w:val="1"/>
    <w:qFormat/>
    <w:uiPriority w:val="0"/>
    <w:rPr>
      <w:sz w:val="18"/>
      <w:szCs w:val="18"/>
    </w:rPr>
  </w:style>
  <w:style w:type="paragraph" w:styleId="22">
    <w:name w:val="footer"/>
    <w:basedOn w:val="1"/>
    <w:qFormat/>
    <w:uiPriority w:val="0"/>
    <w:pPr>
      <w:tabs>
        <w:tab w:val="center" w:pos="4153"/>
        <w:tab w:val="right" w:pos="8306"/>
      </w:tabs>
      <w:ind w:firstLine="0" w:firstLineChars="0"/>
      <w:jc w:val="left"/>
    </w:pPr>
    <w:rPr>
      <w:sz w:val="18"/>
      <w:szCs w:val="18"/>
    </w:rPr>
  </w:style>
  <w:style w:type="paragraph" w:styleId="2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ind w:firstLine="0" w:firstLineChars="0"/>
    </w:pPr>
    <w:rPr>
      <w:sz w:val="18"/>
      <w:szCs w:val="18"/>
    </w:rPr>
  </w:style>
  <w:style w:type="paragraph" w:styleId="24">
    <w:name w:val="Signature"/>
    <w:basedOn w:val="1"/>
    <w:qFormat/>
    <w:uiPriority w:val="0"/>
    <w:pPr>
      <w:ind w:firstLine="0" w:firstLineChars="0"/>
      <w:jc w:val="right"/>
    </w:pPr>
    <w:rPr>
      <w:color w:val="262626"/>
    </w:rPr>
  </w:style>
  <w:style w:type="paragraph" w:styleId="25">
    <w:name w:val="toc 1"/>
    <w:basedOn w:val="1"/>
    <w:next w:val="1"/>
    <w:qFormat/>
    <w:uiPriority w:val="0"/>
    <w:rPr>
      <w:color w:val="262626"/>
    </w:rPr>
  </w:style>
  <w:style w:type="paragraph" w:styleId="26">
    <w:name w:val="toc 4"/>
    <w:basedOn w:val="1"/>
    <w:next w:val="1"/>
    <w:qFormat/>
    <w:uiPriority w:val="0"/>
    <w:pPr>
      <w:ind w:left="1260" w:leftChars="600"/>
    </w:pPr>
    <w:rPr>
      <w:color w:val="262626"/>
    </w:rPr>
  </w:style>
  <w:style w:type="paragraph" w:styleId="27">
    <w:name w:val="Subtitle"/>
    <w:next w:val="4"/>
    <w:link w:val="47"/>
    <w:qFormat/>
    <w:uiPriority w:val="0"/>
    <w:pPr>
      <w:adjustRightInd w:val="0"/>
      <w:snapToGrid w:val="0"/>
      <w:spacing w:line="720" w:lineRule="exact"/>
      <w:jc w:val="center"/>
      <w:outlineLvl w:val="1"/>
    </w:pPr>
    <w:rPr>
      <w:rFonts w:ascii="黑体" w:hAnsi="黑体" w:eastAsia="黑体" w:cs="Times New Roman"/>
      <w:color w:val="auto"/>
      <w:kern w:val="28"/>
      <w:sz w:val="36"/>
      <w:szCs w:val="36"/>
      <w:lang w:val="en-US" w:eastAsia="zh-CN" w:bidi="ar-SA"/>
    </w:rPr>
  </w:style>
  <w:style w:type="paragraph" w:styleId="28">
    <w:name w:val="footnote text"/>
    <w:basedOn w:val="1"/>
    <w:qFormat/>
    <w:uiPriority w:val="0"/>
    <w:pPr>
      <w:jc w:val="left"/>
    </w:pPr>
    <w:rPr>
      <w:sz w:val="18"/>
      <w:szCs w:val="18"/>
    </w:rPr>
  </w:style>
  <w:style w:type="paragraph" w:styleId="29">
    <w:name w:val="toc 2"/>
    <w:basedOn w:val="1"/>
    <w:next w:val="1"/>
    <w:qFormat/>
    <w:uiPriority w:val="0"/>
    <w:pPr>
      <w:ind w:left="420" w:leftChars="200"/>
    </w:pPr>
    <w:rPr>
      <w:color w:val="262626"/>
    </w:rPr>
  </w:style>
  <w:style w:type="paragraph" w:styleId="30">
    <w:name w:val="Normal (Web)"/>
    <w:basedOn w:val="1"/>
    <w:qFormat/>
    <w:uiPriority w:val="0"/>
    <w:rPr>
      <w:sz w:val="24"/>
      <w:szCs w:val="24"/>
    </w:rPr>
  </w:style>
  <w:style w:type="paragraph" w:styleId="31">
    <w:name w:val="Title"/>
    <w:link w:val="55"/>
    <w:qFormat/>
    <w:uiPriority w:val="0"/>
    <w:pPr>
      <w:adjustRightInd w:val="0"/>
      <w:snapToGrid w:val="0"/>
      <w:spacing w:after="296" w:line="720" w:lineRule="exact"/>
      <w:jc w:val="center"/>
      <w:outlineLvl w:val="0"/>
    </w:pPr>
    <w:rPr>
      <w:rFonts w:ascii="方正小标宋简体" w:hAnsi="方正小标宋简体" w:eastAsia="方正小标宋简体" w:cs="Times New Roman"/>
      <w:color w:val="262626"/>
      <w:sz w:val="44"/>
      <w:szCs w:val="44"/>
      <w:lang w:val="en-US" w:eastAsia="zh-CN" w:bidi="ar-SA"/>
    </w:rPr>
  </w:style>
  <w:style w:type="paragraph" w:styleId="32">
    <w:name w:val="annotation subject"/>
    <w:basedOn w:val="13"/>
    <w:next w:val="13"/>
    <w:qFormat/>
    <w:uiPriority w:val="0"/>
    <w:rPr>
      <w:b/>
      <w:color w:val="262626"/>
    </w:rPr>
  </w:style>
  <w:style w:type="table" w:styleId="34">
    <w:name w:val="Table Grid"/>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0"/>
    <w:rPr>
      <w:rFonts w:ascii="仿宋" w:hAnsi="仿宋" w:eastAsia="仿宋" w:cs="Times New Roman"/>
      <w:b/>
      <w:bCs/>
      <w:color w:val="262626"/>
      <w:spacing w:val="-6"/>
      <w:kern w:val="2"/>
      <w:sz w:val="32"/>
      <w:szCs w:val="32"/>
      <w:u w:val="single"/>
      <w:lang w:val="en-US" w:eastAsia="zh-CN" w:bidi="ar-SA"/>
    </w:rPr>
  </w:style>
  <w:style w:type="character" w:styleId="37">
    <w:name w:val="endnote reference"/>
    <w:basedOn w:val="35"/>
    <w:qFormat/>
    <w:uiPriority w:val="0"/>
    <w:rPr>
      <w:rFonts w:ascii="仿宋" w:hAnsi="仿宋" w:eastAsia="仿宋"/>
      <w:color w:val="262626"/>
      <w:vertAlign w:val="superscript"/>
    </w:rPr>
  </w:style>
  <w:style w:type="character" w:styleId="38">
    <w:name w:val="page number"/>
    <w:qFormat/>
    <w:uiPriority w:val="0"/>
    <w:rPr>
      <w:rFonts w:ascii="宋体" w:hAnsi="宋体" w:eastAsia="宋体" w:cs="Times New Roman"/>
      <w:color w:val="262626"/>
      <w:spacing w:val="-6"/>
      <w:kern w:val="2"/>
      <w:sz w:val="28"/>
      <w:szCs w:val="28"/>
      <w:lang w:val="en-US" w:eastAsia="zh-CN" w:bidi="ar-SA"/>
    </w:rPr>
  </w:style>
  <w:style w:type="character" w:styleId="39">
    <w:name w:val="FollowedHyperlink"/>
    <w:basedOn w:val="35"/>
    <w:qFormat/>
    <w:uiPriority w:val="0"/>
    <w:rPr>
      <w:rFonts w:ascii="仿宋" w:hAnsi="仿宋" w:eastAsia="仿宋" w:cs="Times New Roman"/>
      <w:color w:val="800080"/>
      <w:spacing w:val="-6"/>
      <w:kern w:val="2"/>
      <w:sz w:val="32"/>
      <w:szCs w:val="32"/>
      <w:u w:val="single"/>
      <w:lang w:val="en-US" w:eastAsia="zh-CN" w:bidi="ar-SA"/>
    </w:rPr>
  </w:style>
  <w:style w:type="character" w:styleId="40">
    <w:name w:val="Emphasis"/>
    <w:qFormat/>
    <w:uiPriority w:val="0"/>
    <w:rPr>
      <w:rFonts w:ascii="仿宋" w:hAnsi="仿宋" w:eastAsia="仿宋" w:cs="Times New Roman"/>
      <w:b/>
      <w:bCs/>
      <w:color w:val="262626"/>
      <w:spacing w:val="-6"/>
      <w:kern w:val="2"/>
      <w:sz w:val="32"/>
      <w:szCs w:val="32"/>
      <w:lang w:val="en-US" w:eastAsia="zh-CN" w:bidi="ar-SA"/>
    </w:rPr>
  </w:style>
  <w:style w:type="character" w:styleId="41">
    <w:name w:val="Hyperlink"/>
    <w:basedOn w:val="35"/>
    <w:qFormat/>
    <w:uiPriority w:val="0"/>
    <w:rPr>
      <w:rFonts w:ascii="仿宋" w:hAnsi="仿宋" w:eastAsia="仿宋" w:cs="Times New Roman"/>
      <w:caps/>
      <w:color w:val="0000FF"/>
      <w:spacing w:val="-6"/>
      <w:kern w:val="2"/>
      <w:sz w:val="32"/>
      <w:szCs w:val="32"/>
      <w:u w:val="single"/>
      <w:lang w:val="en-US" w:eastAsia="zh-CN" w:bidi="ar-SA"/>
    </w:rPr>
  </w:style>
  <w:style w:type="character" w:styleId="42">
    <w:name w:val="annotation reference"/>
    <w:basedOn w:val="35"/>
    <w:qFormat/>
    <w:uiPriority w:val="0"/>
    <w:rPr>
      <w:rFonts w:ascii="仿宋" w:hAnsi="仿宋" w:eastAsia="仿宋"/>
      <w:color w:val="262626"/>
      <w:sz w:val="21"/>
      <w:szCs w:val="21"/>
    </w:rPr>
  </w:style>
  <w:style w:type="character" w:styleId="43">
    <w:name w:val="footnote reference"/>
    <w:basedOn w:val="35"/>
    <w:qFormat/>
    <w:uiPriority w:val="0"/>
    <w:rPr>
      <w:rFonts w:ascii="仿宋" w:hAnsi="仿宋" w:eastAsia="仿宋"/>
      <w:color w:val="262626"/>
      <w:vertAlign w:val="superscript"/>
    </w:rPr>
  </w:style>
  <w:style w:type="paragraph" w:customStyle="1" w:styleId="44">
    <w:name w:val="目录标题"/>
    <w:qFormat/>
    <w:uiPriority w:val="0"/>
    <w:pPr>
      <w:adjustRightInd w:val="0"/>
      <w:jc w:val="center"/>
      <w:textAlignment w:val="center"/>
    </w:pPr>
    <w:rPr>
      <w:rFonts w:ascii="黑体" w:hAnsi="黑体" w:eastAsia="黑体" w:cs="Times New Roman"/>
      <w:color w:val="auto"/>
      <w:sz w:val="32"/>
      <w:szCs w:val="32"/>
      <w:lang w:val="en-US" w:eastAsia="zh-CN" w:bidi="ar-SA"/>
    </w:rPr>
  </w:style>
  <w:style w:type="character" w:customStyle="1" w:styleId="45">
    <w:name w:val="标题 4 字符"/>
    <w:link w:val="6"/>
    <w:qFormat/>
    <w:uiPriority w:val="9"/>
    <w:rPr>
      <w:rFonts w:ascii="仿宋" w:hAnsi="仿宋" w:eastAsia="仿宋" w:cs="Times New Roman"/>
      <w:color w:val="auto"/>
      <w:sz w:val="32"/>
      <w:szCs w:val="32"/>
      <w:lang w:val="en-US" w:eastAsia="zh-CN" w:bidi="ar-SA"/>
    </w:rPr>
  </w:style>
  <w:style w:type="paragraph" w:customStyle="1" w:styleId="46">
    <w:name w:val="章标题"/>
    <w:basedOn w:val="1"/>
    <w:next w:val="1"/>
    <w:qFormat/>
    <w:uiPriority w:val="0"/>
    <w:pPr>
      <w:spacing w:line="720" w:lineRule="exact"/>
      <w:ind w:firstLine="0" w:firstLineChars="0"/>
      <w:jc w:val="center"/>
      <w:outlineLvl w:val="0"/>
    </w:pPr>
    <w:rPr>
      <w:rFonts w:hint="eastAsia" w:ascii="黑体" w:hAnsi="黑体" w:eastAsia="黑体"/>
      <w:kern w:val="44"/>
      <w:sz w:val="36"/>
      <w:szCs w:val="36"/>
    </w:rPr>
  </w:style>
  <w:style w:type="character" w:customStyle="1" w:styleId="47">
    <w:name w:val="副标题 字符"/>
    <w:link w:val="27"/>
    <w:qFormat/>
    <w:uiPriority w:val="0"/>
    <w:rPr>
      <w:rFonts w:ascii="黑体" w:hAnsi="黑体" w:eastAsia="黑体" w:cs="Times New Roman"/>
      <w:color w:val="auto"/>
      <w:kern w:val="28"/>
      <w:sz w:val="36"/>
      <w:szCs w:val="36"/>
      <w:lang w:val="en-US" w:eastAsia="zh-CN" w:bidi="ar-SA"/>
    </w:rPr>
  </w:style>
  <w:style w:type="paragraph" w:customStyle="1" w:styleId="48">
    <w:name w:val="题注1"/>
    <w:basedOn w:val="1"/>
    <w:qFormat/>
    <w:uiPriority w:val="0"/>
    <w:pPr>
      <w:ind w:firstLine="0" w:firstLineChars="0"/>
    </w:pPr>
    <w:rPr>
      <w:rFonts w:hint="eastAsia"/>
      <w:sz w:val="20"/>
      <w:szCs w:val="20"/>
    </w:rPr>
  </w:style>
  <w:style w:type="paragraph" w:customStyle="1" w:styleId="49">
    <w:name w:val="文档说明标题"/>
    <w:next w:val="1"/>
    <w:qFormat/>
    <w:uiPriority w:val="0"/>
    <w:pPr>
      <w:keepNext/>
      <w:keepLines/>
      <w:tabs>
        <w:tab w:val="left" w:pos="0"/>
      </w:tabs>
      <w:adjustRightInd w:val="0"/>
      <w:snapToGrid w:val="0"/>
      <w:spacing w:line="720" w:lineRule="exact"/>
      <w:jc w:val="center"/>
      <w:outlineLvl w:val="0"/>
    </w:pPr>
    <w:rPr>
      <w:rFonts w:ascii="黑体" w:hAnsi="黑体" w:eastAsia="黑体" w:cs="宋体"/>
      <w:color w:val="auto"/>
      <w:kern w:val="44"/>
      <w:sz w:val="36"/>
      <w:szCs w:val="36"/>
      <w:lang w:val="en-US" w:eastAsia="zh-CN" w:bidi="ar-SA"/>
    </w:rPr>
  </w:style>
  <w:style w:type="paragraph" w:customStyle="1" w:styleId="50">
    <w:name w:val="节标题"/>
    <w:next w:val="1"/>
    <w:qFormat/>
    <w:uiPriority w:val="0"/>
    <w:pPr>
      <w:tabs>
        <w:tab w:val="left" w:pos="0"/>
      </w:tabs>
      <w:adjustRightInd w:val="0"/>
      <w:snapToGrid w:val="0"/>
      <w:spacing w:line="720" w:lineRule="exact"/>
      <w:jc w:val="center"/>
    </w:pPr>
    <w:rPr>
      <w:rFonts w:ascii="黑体" w:hAnsi="黑体" w:eastAsia="黑体" w:cs="宋体"/>
      <w:color w:val="auto"/>
      <w:sz w:val="32"/>
      <w:szCs w:val="32"/>
      <w:lang w:val="en-US" w:eastAsia="zh-CN" w:bidi="ar-SA"/>
    </w:rPr>
  </w:style>
  <w:style w:type="paragraph" w:customStyle="1" w:styleId="51">
    <w:name w:val="附录标题"/>
    <w:next w:val="4"/>
    <w:qFormat/>
    <w:uiPriority w:val="0"/>
    <w:pPr>
      <w:overflowPunct w:val="0"/>
      <w:topLinePunct/>
      <w:adjustRightInd w:val="0"/>
      <w:snapToGrid w:val="0"/>
      <w:spacing w:line="720" w:lineRule="exact"/>
      <w:jc w:val="center"/>
    </w:pPr>
    <w:rPr>
      <w:rFonts w:hint="eastAsia" w:ascii="黑体" w:hAnsi="黑体" w:eastAsia="黑体" w:cs="Times New Roman"/>
      <w:color w:val="auto"/>
      <w:sz w:val="36"/>
      <w:szCs w:val="36"/>
      <w:lang w:val="en-US" w:eastAsia="zh-CN" w:bidi="ar-SA"/>
    </w:rPr>
  </w:style>
  <w:style w:type="character" w:customStyle="1" w:styleId="52">
    <w:name w:val="参考文献条目"/>
    <w:basedOn w:val="35"/>
    <w:qFormat/>
    <w:uiPriority w:val="0"/>
    <w:rPr>
      <w:rFonts w:ascii="黑体" w:hAnsi="黑体" w:eastAsia="黑体" w:cs="Times New Roman"/>
      <w:color w:val="262626"/>
      <w:sz w:val="30"/>
      <w:szCs w:val="30"/>
      <w:lang w:val="en-US" w:eastAsia="zh-CN"/>
    </w:rPr>
  </w:style>
  <w:style w:type="character" w:customStyle="1" w:styleId="53">
    <w:name w:val="着重标题"/>
    <w:basedOn w:val="35"/>
    <w:qFormat/>
    <w:uiPriority w:val="0"/>
    <w:rPr>
      <w:rFonts w:ascii="黑体" w:hAnsi="黑体" w:eastAsia="黑体" w:cs="Times New Roman"/>
      <w:color w:val="262626"/>
      <w:sz w:val="30"/>
      <w:szCs w:val="30"/>
      <w:lang w:val="en-US" w:eastAsia="zh-CN"/>
    </w:rPr>
  </w:style>
  <w:style w:type="character" w:customStyle="1" w:styleId="54">
    <w:name w:val="正文文本 字符"/>
    <w:link w:val="4"/>
    <w:qFormat/>
    <w:uiPriority w:val="0"/>
    <w:rPr>
      <w:rFonts w:ascii="仿宋" w:hAnsi="仿宋" w:eastAsia="仿宋" w:cs="Times New Roman"/>
      <w:color w:val="auto"/>
      <w:spacing w:val="-6"/>
      <w:sz w:val="32"/>
      <w:szCs w:val="32"/>
      <w:lang w:val="en-US" w:eastAsia="zh-CN" w:bidi="ar-SA"/>
    </w:rPr>
  </w:style>
  <w:style w:type="character" w:customStyle="1" w:styleId="55">
    <w:name w:val="标题 字符"/>
    <w:link w:val="31"/>
    <w:qFormat/>
    <w:uiPriority w:val="0"/>
    <w:rPr>
      <w:rFonts w:ascii="方正小标宋简体" w:hAnsi="方正小标宋简体" w:eastAsia="方正小标宋简体" w:cs="Times New Roman"/>
      <w:color w:val="262626"/>
      <w:sz w:val="44"/>
      <w:szCs w:val="44"/>
      <w:lang w:val="en-US" w:eastAsia="zh-CN" w:bidi="ar-SA"/>
    </w:rPr>
  </w:style>
  <w:style w:type="paragraph" w:customStyle="1" w:styleId="56">
    <w:name w:val="主送对象"/>
    <w:next w:val="4"/>
    <w:qFormat/>
    <w:uiPriority w:val="0"/>
    <w:pPr>
      <w:adjustRightInd w:val="0"/>
      <w:snapToGrid w:val="0"/>
      <w:spacing w:line="576" w:lineRule="exact"/>
    </w:pPr>
    <w:rPr>
      <w:rFonts w:hint="eastAsia" w:ascii="仿宋" w:hAnsi="仿宋" w:eastAsia="仿宋" w:cs="Times New Roman"/>
      <w:color w:val="auto"/>
      <w:sz w:val="32"/>
      <w:szCs w:val="32"/>
      <w:lang w:val="en-US" w:eastAsia="zh-CN" w:bidi="ar-SA"/>
    </w:rPr>
  </w:style>
  <w:style w:type="paragraph" w:customStyle="1" w:styleId="57">
    <w:name w:val="表格标题"/>
    <w:next w:val="1"/>
    <w:qFormat/>
    <w:uiPriority w:val="0"/>
    <w:pPr>
      <w:overflowPunct w:val="0"/>
      <w:topLinePunct/>
      <w:bidi w:val="0"/>
      <w:jc w:val="center"/>
    </w:pPr>
    <w:rPr>
      <w:rFonts w:ascii="仿宋" w:hAnsi="仿宋" w:eastAsia="仿宋" w:cs="Times New Roman"/>
      <w:color w:val="262626"/>
      <w:spacing w:val="-6"/>
      <w:sz w:val="28"/>
      <w:szCs w:val="28"/>
      <w:lang w:val="en-US" w:eastAsia="zh-CN" w:bidi="ar-SA"/>
    </w:rPr>
  </w:style>
  <w:style w:type="character" w:customStyle="1" w:styleId="58">
    <w:name w:val="摘要"/>
    <w:basedOn w:val="35"/>
    <w:qFormat/>
    <w:uiPriority w:val="0"/>
    <w:rPr>
      <w:rFonts w:hint="eastAsia" w:ascii="黑体" w:hAnsi="黑体" w:eastAsia="黑体"/>
      <w:color w:val="262626"/>
      <w:sz w:val="30"/>
      <w:szCs w:val="30"/>
      <w:lang w:val="en-US" w:eastAsia="zh-CN"/>
    </w:rPr>
  </w:style>
  <w:style w:type="character" w:customStyle="1" w:styleId="59">
    <w:name w:val="关键词"/>
    <w:basedOn w:val="35"/>
    <w:qFormat/>
    <w:uiPriority w:val="0"/>
    <w:rPr>
      <w:rFonts w:hint="eastAsia" w:ascii="黑体" w:hAnsi="黑体" w:eastAsia="黑体"/>
      <w:color w:val="262626"/>
      <w:sz w:val="30"/>
      <w:szCs w:val="30"/>
    </w:rPr>
  </w:style>
  <w:style w:type="character" w:customStyle="1" w:styleId="60">
    <w:name w:val="标题 2 Char"/>
    <w:link w:val="3"/>
    <w:qFormat/>
    <w:uiPriority w:val="0"/>
    <w:rPr>
      <w:rFonts w:ascii="楷体" w:hAnsi="楷体" w:eastAsia="楷体" w:cs="Times New Roman"/>
      <w:b/>
      <w:bCs/>
      <w:color w:val="auto"/>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66818e-2586-4be4-90fb-59d807b5f2e5}">
  <ds:schemaRefs/>
</ds:datastoreItem>
</file>

<file path=docProps/app.xml><?xml version="1.0" encoding="utf-8"?>
<Properties xmlns="http://schemas.openxmlformats.org/officeDocument/2006/extended-properties" xmlns:vt="http://schemas.openxmlformats.org/officeDocument/2006/docPropsVTypes">
  <Pages>8</Pages>
  <Words>3262</Words>
  <Characters>3290</Characters>
  <Paragraphs>55</Paragraphs>
  <TotalTime>2</TotalTime>
  <ScaleCrop>false</ScaleCrop>
  <LinksUpToDate>false</LinksUpToDate>
  <CharactersWithSpaces>3294</CharactersWithSpaces>
  <Application>WPS Office_12.1.26016.26016_F1E327BC-269C-435d-A152-05C5408002CA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2026-03-12T10:02:00Z</dcterms:created>
  <dc:creator>Kirk</dc:creator>
  <cp:lastModifiedBy>瞄几眼</cp:lastModifiedBy>
  <dcterms:modified xsi:type="dcterms:W3CDTF">2026-10-22T09:14:02Z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2052-12.1.26016.26016</vt:lpwstr>
  </property>
  <property fmtid="{D5CDD505-2E9C-101B-9397-08002B2CF9AE}" pid="3" name="ICV">
    <vt:lpwstr>E89975ACC08561FC5A63D96A200A4F0A_43</vt:lpwstr>
  </property>
  <property fmtid="{D5CDD505-2E9C-101B-9397-08002B2CF9AE}" pid="4" name="KSOTemplateDocerSaveRecord">
    <vt:lpwstr>eyJoZGlkIjoiZjdmYWVhNzVlYjUzMjdmMTEwOWJlMzJmYzk1ZDg3MmUiLCJ1c2VySWQiOiIyNjc4NjgxMyJ9</vt:lpwstr>
  </property>
</Properties>
</file>