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C6745">
      <w:pPr>
        <w:pStyle w:val="31"/>
        <w:keepNext w:val="0"/>
        <w:keepLines w:val="0"/>
        <w:pageBreakBefore w:val="0"/>
        <w:widowControl/>
        <w:kinsoku/>
        <w:wordWrap/>
        <w:overflowPunct/>
        <w:topLinePunct w:val="0"/>
        <w:autoSpaceDE/>
        <w:autoSpaceDN/>
        <w:bidi w:val="0"/>
        <w:adjustRightInd w:val="0"/>
        <w:snapToGrid w:val="0"/>
        <w:spacing w:after="0" w:line="579" w:lineRule="exact"/>
        <w:textAlignment w:val="auto"/>
        <w:rPr>
          <w:rFonts w:hint="eastAsia"/>
          <w:color w:val="auto"/>
          <w:sz w:val="40"/>
          <w:szCs w:val="40"/>
        </w:rPr>
      </w:pPr>
      <w:r>
        <w:rPr>
          <w:color w:val="auto"/>
          <w:sz w:val="40"/>
          <w:szCs w:val="40"/>
        </w:rPr>
        <mc:AlternateContent>
          <mc:Choice Requires="wps">
            <w:drawing>
              <wp:anchor distT="0" distB="0" distL="0" distR="0" simplePos="0" relativeHeight="251659264" behindDoc="0" locked="0" layoutInCell="1" allowOverlap="1">
                <wp:simplePos x="0" y="0"/>
                <wp:positionH relativeFrom="column">
                  <wp:posOffset>-571500</wp:posOffset>
                </wp:positionH>
                <wp:positionV relativeFrom="paragraph">
                  <wp:posOffset>-571500</wp:posOffset>
                </wp:positionV>
                <wp:extent cx="1123950" cy="419100"/>
                <wp:effectExtent l="0" t="0" r="0" b="0"/>
                <wp:wrapNone/>
                <wp:docPr id="1026" name="文本框 1"/>
                <wp:cNvGraphicFramePr/>
                <a:graphic xmlns:a="http://schemas.openxmlformats.org/drawingml/2006/main">
                  <a:graphicData uri="http://schemas.microsoft.com/office/word/2010/wordprocessingShape">
                    <wps:wsp>
                      <wps:cNvSpPr/>
                      <wps:spPr>
                        <a:xfrm>
                          <a:off x="0" y="0"/>
                          <a:ext cx="1123950" cy="419100"/>
                        </a:xfrm>
                        <a:prstGeom prst="rect">
                          <a:avLst/>
                        </a:prstGeom>
                        <a:solidFill>
                          <a:srgbClr val="FFFFFF"/>
                        </a:solidFill>
                        <a:ln>
                          <a:noFill/>
                        </a:ln>
                      </wps:spPr>
                      <wps:txbx>
                        <w:txbxContent>
                          <w:p w14:paraId="093B1DEA">
                            <w:pPr>
                              <w:ind w:left="0" w:leftChars="0" w:firstLine="0" w:firstLineChars="0"/>
                              <w:rPr>
                                <w:rFonts w:hint="eastAsia" w:eastAsia="仿宋"/>
                              </w:rPr>
                            </w:pPr>
                            <w:r>
                              <w:rPr>
                                <w:rFonts w:hint="eastAsia"/>
                              </w:rPr>
                              <w:t>附件1</w:t>
                            </w:r>
                          </w:p>
                        </w:txbxContent>
                      </wps:txbx>
                      <wps:bodyPr vert="horz" wrap="square" lIns="91440" tIns="45720" rIns="91440" bIns="45720" anchor="t">
                        <a:noAutofit/>
                      </wps:bodyPr>
                    </wps:wsp>
                  </a:graphicData>
                </a:graphic>
              </wp:anchor>
            </w:drawing>
          </mc:Choice>
          <mc:Fallback>
            <w:pict>
              <v:rect id="文本框 1" o:spid="_x0000_s1026" o:spt="1" style="position:absolute;left:0pt;margin-left:-45pt;margin-top:-45pt;height:33pt;width:88.5pt;z-index:251659264;mso-width-relative:page;mso-height-relative:page;" fillcolor="#FFFFFF" filled="t" stroked="f" coordsize="21600,21600" o:gfxdata="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lUvQp1QAAAAoBAAAPAAAAAAAAAAEAIAAAACIAAABkcnMvZG93bnJldi54bWxQSwECFAAUAAAA&#10;CACHTuJAmGzKzPEBAADXAwAADgAAAAAAAAABACAAAAAkAQAAZHJzL2Uyb0RvYy54bWxQSwUGAAAA&#10;AAYABgBZAQAAhwUAAAAA&#10;">
                <v:fill on="t" focussize="0,0"/>
                <v:stroke on="f"/>
                <v:imagedata o:title=""/>
                <o:lock v:ext="edit" aspectratio="f"/>
                <v:textbox>
                  <w:txbxContent>
                    <w:p w14:paraId="093B1DEA">
                      <w:pPr>
                        <w:ind w:left="0" w:leftChars="0" w:firstLine="0" w:firstLineChars="0"/>
                        <w:rPr>
                          <w:rFonts w:hint="eastAsia" w:eastAsia="仿宋"/>
                        </w:rPr>
                      </w:pPr>
                      <w:r>
                        <w:rPr>
                          <w:rFonts w:hint="eastAsia"/>
                        </w:rPr>
                        <w:t>附件1</w:t>
                      </w:r>
                    </w:p>
                  </w:txbxContent>
                </v:textbox>
              </v:rect>
            </w:pict>
          </mc:Fallback>
        </mc:AlternateContent>
      </w:r>
      <w:r>
        <w:rPr>
          <w:rFonts w:hint="eastAsia"/>
          <w:color w:val="auto"/>
          <w:sz w:val="40"/>
          <w:szCs w:val="40"/>
        </w:rPr>
        <w:t>同济大学学生党支部“对标争先”建设项目</w:t>
      </w:r>
    </w:p>
    <w:p w14:paraId="6B9C1884">
      <w:pPr>
        <w:pStyle w:val="31"/>
        <w:keepNext w:val="0"/>
        <w:keepLines w:val="0"/>
        <w:pageBreakBefore w:val="0"/>
        <w:widowControl/>
        <w:kinsoku/>
        <w:wordWrap/>
        <w:overflowPunct/>
        <w:topLinePunct w:val="0"/>
        <w:autoSpaceDE/>
        <w:autoSpaceDN/>
        <w:bidi w:val="0"/>
        <w:adjustRightInd w:val="0"/>
        <w:snapToGrid w:val="0"/>
        <w:spacing w:after="0" w:line="579" w:lineRule="exact"/>
        <w:textAlignment w:val="auto"/>
        <w:rPr>
          <w:rFonts w:hint="eastAsia"/>
          <w:color w:val="auto"/>
          <w:sz w:val="40"/>
          <w:szCs w:val="40"/>
        </w:rPr>
      </w:pPr>
      <w:r>
        <w:rPr>
          <w:rFonts w:hint="eastAsia"/>
          <w:color w:val="auto"/>
          <w:sz w:val="40"/>
          <w:szCs w:val="40"/>
        </w:rPr>
        <w:t>结项报销</w:t>
      </w:r>
      <w:r>
        <w:rPr>
          <w:rFonts w:hint="eastAsia"/>
          <w:color w:val="auto"/>
          <w:sz w:val="40"/>
          <w:szCs w:val="40"/>
          <w:lang w:val="en-US" w:eastAsia="zh-CN"/>
        </w:rPr>
        <w:t>问答</w:t>
      </w:r>
      <w:r>
        <w:rPr>
          <w:rFonts w:hint="eastAsia"/>
          <w:color w:val="auto"/>
          <w:sz w:val="40"/>
          <w:szCs w:val="40"/>
        </w:rPr>
        <w:t>手册</w:t>
      </w:r>
    </w:p>
    <w:p w14:paraId="558F8D45">
      <w:pPr>
        <w:pStyle w:val="31"/>
        <w:keepNext w:val="0"/>
        <w:keepLines w:val="0"/>
        <w:pageBreakBefore w:val="0"/>
        <w:widowControl/>
        <w:kinsoku/>
        <w:wordWrap/>
        <w:overflowPunct/>
        <w:topLinePunct w:val="0"/>
        <w:autoSpaceDE/>
        <w:autoSpaceDN/>
        <w:bidi w:val="0"/>
        <w:adjustRightInd w:val="0"/>
        <w:snapToGrid w:val="0"/>
        <w:spacing w:after="0" w:line="579" w:lineRule="exact"/>
        <w:textAlignment w:val="auto"/>
        <w:rPr>
          <w:rFonts w:hint="eastAsia"/>
          <w:color w:val="auto"/>
          <w:sz w:val="40"/>
          <w:szCs w:val="40"/>
        </w:rPr>
      </w:pPr>
    </w:p>
    <w:p w14:paraId="6DFF8656">
      <w:pPr>
        <w:keepNext w:val="0"/>
        <w:keepLines w:val="0"/>
        <w:pageBreakBefore w:val="0"/>
        <w:kinsoku/>
        <w:wordWrap/>
        <w:overflowPunct/>
        <w:topLinePunct w:val="0"/>
        <w:autoSpaceDE/>
        <w:autoSpaceDN/>
        <w:bidi w:val="0"/>
        <w:adjustRightInd w:val="0"/>
        <w:snapToGrid w:val="0"/>
        <w:spacing w:line="579"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本手册依据同济大学财务报销相关规定、“对标争先”建设项目申报通知及项目管理要求制定，明确项目结项与经费报销的核心要求、实操规范及常见问题，供各立项支部自查使用。</w:t>
      </w:r>
    </w:p>
    <w:p w14:paraId="0124F6A9">
      <w:pPr>
        <w:pStyle w:val="2"/>
        <w:pageBreakBefore w:val="0"/>
        <w:kinsoku/>
        <w:wordWrap/>
        <w:autoSpaceDE/>
        <w:autoSpaceDN/>
        <w:bidi w:val="0"/>
        <w:spacing w:line="579" w:lineRule="exact"/>
        <w:textAlignment w:val="auto"/>
        <w:rPr>
          <w:rFonts w:hint="eastAsia"/>
          <w:color w:val="auto"/>
          <w:lang w:val="en-US" w:eastAsia="zh-CN"/>
        </w:rPr>
      </w:pPr>
      <w:r>
        <w:rPr>
          <w:rFonts w:hint="eastAsia"/>
          <w:color w:val="auto"/>
          <w:lang w:val="en-US" w:eastAsia="zh-CN"/>
        </w:rPr>
        <w:t>结项基本要求</w:t>
      </w:r>
    </w:p>
    <w:p w14:paraId="37D0D5B6">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结项的整体流程是什么？</w:t>
      </w:r>
    </w:p>
    <w:p w14:paraId="3AD41AC0">
      <w:pPr>
        <w:pStyle w:val="4"/>
        <w:pageBreakBefore w:val="0"/>
        <w:numPr>
          <w:ilvl w:val="0"/>
          <w:numId w:val="3"/>
        </w:numPr>
        <w:kinsoku/>
        <w:wordWrap/>
        <w:autoSpaceDE/>
        <w:autoSpaceDN/>
        <w:bidi w:val="0"/>
        <w:spacing w:line="579" w:lineRule="exact"/>
        <w:ind w:left="0" w:leftChars="0" w:firstLine="616"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学校于6月初启动结项验收工作，届时会</w:t>
      </w:r>
      <w:r>
        <w:rPr>
          <w:rFonts w:hint="eastAsia" w:ascii="仿宋_GB2312" w:hAnsi="仿宋_GB2312" w:eastAsia="仿宋_GB2312" w:cs="仿宋_GB2312"/>
          <w:b/>
          <w:bCs/>
          <w:color w:val="auto"/>
          <w:lang w:val="en-US" w:eastAsia="zh-CN"/>
        </w:rPr>
        <w:t>发布结项通知</w:t>
      </w:r>
      <w:r>
        <w:rPr>
          <w:rFonts w:hint="eastAsia" w:ascii="仿宋_GB2312" w:hAnsi="仿宋_GB2312" w:eastAsia="仿宋_GB2312" w:cs="仿宋_GB2312"/>
          <w:color w:val="auto"/>
          <w:lang w:val="en-US" w:eastAsia="zh-CN"/>
        </w:rPr>
        <w:t>，各项目团队需要在截止时间之前，按计划完成活动，启动结项工作；</w:t>
      </w:r>
    </w:p>
    <w:p w14:paraId="26D7767A">
      <w:pPr>
        <w:pStyle w:val="4"/>
        <w:pageBreakBefore w:val="0"/>
        <w:numPr>
          <w:ilvl w:val="0"/>
          <w:numId w:val="3"/>
        </w:numPr>
        <w:kinsoku/>
        <w:wordWrap/>
        <w:autoSpaceDE/>
        <w:autoSpaceDN/>
        <w:bidi w:val="0"/>
        <w:spacing w:line="579" w:lineRule="exact"/>
        <w:ind w:left="0" w:leftChars="0" w:firstLine="616"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lang w:val="en-US" w:eastAsia="zh-CN"/>
        </w:rPr>
        <w:t>项目团队</w:t>
      </w:r>
      <w:r>
        <w:rPr>
          <w:rFonts w:hint="eastAsia" w:ascii="仿宋_GB2312" w:hAnsi="仿宋_GB2312" w:eastAsia="仿宋_GB2312" w:cs="仿宋_GB2312"/>
          <w:color w:val="auto"/>
          <w:lang w:val="en-US" w:eastAsia="zh-CN"/>
        </w:rPr>
        <w:t>根据立项项目类别，分别准备结项材料，请务必提前筹备，避免造成逾期；按要求提交纸质版结项材料</w:t>
      </w:r>
      <w:r>
        <w:rPr>
          <w:rFonts w:hint="eastAsia" w:ascii="仿宋_GB2312" w:hAnsi="仿宋_GB2312" w:eastAsia="仿宋_GB2312" w:cs="仿宋_GB2312"/>
          <w:b w:val="0"/>
          <w:bCs w:val="0"/>
          <w:color w:val="auto"/>
          <w:lang w:val="en-US" w:eastAsia="zh-CN"/>
        </w:rPr>
        <w:t>至学院，同步提交电子版材料至指定链接。</w:t>
      </w:r>
    </w:p>
    <w:p w14:paraId="6A2EF44C">
      <w:pPr>
        <w:pStyle w:val="4"/>
        <w:pageBreakBefore w:val="0"/>
        <w:numPr>
          <w:ilvl w:val="0"/>
          <w:numId w:val="3"/>
        </w:numPr>
        <w:kinsoku/>
        <w:wordWrap/>
        <w:autoSpaceDE/>
        <w:autoSpaceDN/>
        <w:bidi w:val="0"/>
        <w:spacing w:line="579" w:lineRule="exact"/>
        <w:ind w:left="0" w:leftChars="0" w:firstLine="616"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lang w:val="en-US" w:eastAsia="zh-CN"/>
        </w:rPr>
        <w:t>学院</w:t>
      </w:r>
      <w:r>
        <w:rPr>
          <w:rFonts w:hint="eastAsia" w:ascii="仿宋_GB2312" w:hAnsi="仿宋_GB2312" w:eastAsia="仿宋_GB2312" w:cs="仿宋_GB2312"/>
          <w:color w:val="auto"/>
          <w:lang w:val="en-US" w:eastAsia="zh-CN"/>
        </w:rPr>
        <w:t>审核通过后签字盖章，粘贴信封封条，并对决算报告进行公示（网站或公告栏公示3个工作日）；公示无异议后，由</w:t>
      </w:r>
      <w:r>
        <w:rPr>
          <w:rFonts w:hint="eastAsia" w:ascii="仿宋_GB2312" w:hAnsi="仿宋_GB2312" w:eastAsia="仿宋_GB2312" w:cs="仿宋_GB2312"/>
          <w:b w:val="0"/>
          <w:bCs w:val="0"/>
          <w:color w:val="auto"/>
          <w:lang w:val="en-US" w:eastAsia="zh-CN"/>
        </w:rPr>
        <w:t>学院将纸质版结项材料</w:t>
      </w:r>
      <w:r>
        <w:rPr>
          <w:rFonts w:hint="eastAsia" w:ascii="仿宋_GB2312" w:hAnsi="仿宋_GB2312" w:eastAsia="仿宋_GB2312" w:cs="仿宋_GB2312"/>
          <w:color w:val="auto"/>
          <w:lang w:val="en-US" w:eastAsia="zh-CN"/>
        </w:rPr>
        <w:t>统一提交至党委学生工作部；</w:t>
      </w:r>
    </w:p>
    <w:p w14:paraId="43C06F47">
      <w:pPr>
        <w:pStyle w:val="4"/>
        <w:pageBreakBefore w:val="0"/>
        <w:numPr>
          <w:ilvl w:val="0"/>
          <w:numId w:val="3"/>
        </w:numPr>
        <w:kinsoku/>
        <w:wordWrap/>
        <w:autoSpaceDE/>
        <w:autoSpaceDN/>
        <w:bidi w:val="0"/>
        <w:spacing w:line="579" w:lineRule="exact"/>
        <w:ind w:left="0" w:leftChars="0" w:firstLine="616"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lang w:val="en-US" w:eastAsia="zh-CN"/>
        </w:rPr>
        <w:t>学工部</w:t>
      </w:r>
      <w:r>
        <w:rPr>
          <w:rFonts w:hint="eastAsia" w:ascii="仿宋_GB2312" w:hAnsi="仿宋_GB2312" w:eastAsia="仿宋_GB2312" w:cs="仿宋_GB2312"/>
          <w:color w:val="auto"/>
          <w:lang w:val="en-US" w:eastAsia="zh-CN"/>
        </w:rPr>
        <w:t>审核结项材料，判定是否予以结项以及报销，准许结项的，在官网进行学生活动专项经费报销公示；公示无异议后，提交至财务处审核。</w:t>
      </w:r>
    </w:p>
    <w:p w14:paraId="0A68886B">
      <w:pPr>
        <w:pStyle w:val="4"/>
        <w:pageBreakBefore w:val="0"/>
        <w:numPr>
          <w:ilvl w:val="0"/>
          <w:numId w:val="3"/>
        </w:numPr>
        <w:kinsoku/>
        <w:wordWrap/>
        <w:autoSpaceDE/>
        <w:autoSpaceDN/>
        <w:bidi w:val="0"/>
        <w:spacing w:line="579" w:lineRule="exact"/>
        <w:ind w:left="0" w:leftChars="0" w:firstLine="616" w:firstLine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lang w:val="en-US" w:eastAsia="zh-CN"/>
        </w:rPr>
        <w:t>财务处将</w:t>
      </w:r>
      <w:r>
        <w:rPr>
          <w:rFonts w:hint="eastAsia" w:ascii="仿宋_GB2312" w:hAnsi="仿宋_GB2312" w:eastAsia="仿宋_GB2312" w:cs="仿宋_GB2312"/>
          <w:color w:val="auto"/>
          <w:lang w:val="en-US" w:eastAsia="zh-CN"/>
        </w:rPr>
        <w:t>对材料进行检查，审核无误后，直接将经费发放至项目负责人银行卡，请负责人确保财务系统中已绑定银行卡与开户行信息。</w:t>
      </w:r>
    </w:p>
    <w:p w14:paraId="57F9B3F8">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结项材料的内容有什么要求？</w:t>
      </w:r>
    </w:p>
    <w:p w14:paraId="47FB7D2D">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lang w:val="en-US" w:eastAsia="zh-CN"/>
        </w:rPr>
        <w:t>重点/特色项目</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val="en-US"/>
        </w:rPr>
        <w:t>①</w:t>
      </w:r>
      <w:r>
        <w:rPr>
          <w:rFonts w:hint="eastAsia" w:ascii="仿宋_GB2312" w:hAnsi="仿宋_GB2312" w:eastAsia="仿宋_GB2312" w:cs="仿宋_GB2312"/>
          <w:color w:val="auto"/>
          <w:lang w:val="en-US" w:eastAsia="zh-CN"/>
        </w:rPr>
        <w:t>经费决算报告（一式两份）</w:t>
      </w:r>
      <w:r>
        <w:rPr>
          <w:rFonts w:hint="eastAsia" w:ascii="仿宋_GB2312" w:hAnsi="仿宋_GB2312" w:eastAsia="仿宋_GB2312" w:cs="仿宋_GB2312"/>
          <w:color w:val="auto"/>
          <w:lang w:val="en-US"/>
        </w:rPr>
        <w:t>；②装入</w:t>
      </w:r>
      <w:r>
        <w:rPr>
          <w:rFonts w:hint="eastAsia" w:ascii="仿宋_GB2312" w:hAnsi="仿宋_GB2312" w:eastAsia="仿宋_GB2312" w:cs="仿宋_GB2312"/>
          <w:color w:val="auto"/>
          <w:lang w:val="en-US" w:eastAsia="zh-CN"/>
        </w:rPr>
        <w:t>专用</w:t>
      </w:r>
      <w:r>
        <w:rPr>
          <w:rFonts w:hint="eastAsia" w:ascii="仿宋_GB2312" w:hAnsi="仿宋_GB2312" w:eastAsia="仿宋_GB2312" w:cs="仿宋_GB2312"/>
          <w:color w:val="auto"/>
          <w:lang w:val="en-US"/>
        </w:rPr>
        <w:t>信封的</w:t>
      </w:r>
      <w:r>
        <w:rPr>
          <w:rFonts w:hint="eastAsia" w:ascii="仿宋_GB2312" w:hAnsi="仿宋_GB2312" w:eastAsia="仿宋_GB2312" w:cs="仿宋_GB2312"/>
          <w:color w:val="auto"/>
          <w:lang w:val="en-US" w:eastAsia="zh-CN"/>
        </w:rPr>
        <w:t>全套报销票据及附件</w:t>
      </w:r>
      <w:r>
        <w:rPr>
          <w:rFonts w:hint="eastAsia" w:ascii="仿宋_GB2312" w:hAnsi="仿宋_GB2312" w:eastAsia="仿宋_GB2312" w:cs="仿宋_GB2312"/>
          <w:color w:val="auto"/>
          <w:lang w:val="en-US"/>
        </w:rPr>
        <w:t>；</w:t>
      </w:r>
      <w:r>
        <w:rPr>
          <w:rFonts w:hint="eastAsia" w:ascii="仿宋_GB2312" w:hAnsi="仿宋_GB2312" w:eastAsia="仿宋_GB2312" w:cs="仿宋_GB2312"/>
          <w:color w:val="auto"/>
          <w:lang w:val="en-US" w:eastAsia="zh-CN"/>
        </w:rPr>
        <w:t>③不装入信封的其他附加材料；④</w:t>
      </w:r>
      <w:r>
        <w:rPr>
          <w:rFonts w:hint="eastAsia" w:ascii="仿宋_GB2312" w:hAnsi="仿宋_GB2312" w:eastAsia="仿宋_GB2312" w:cs="仿宋_GB2312"/>
          <w:color w:val="auto"/>
          <w:lang w:val="en-US"/>
        </w:rPr>
        <w:t>结项自查对照表</w:t>
      </w:r>
      <w:r>
        <w:rPr>
          <w:rFonts w:hint="eastAsia" w:ascii="仿宋_GB2312" w:hAnsi="仿宋_GB2312" w:eastAsia="仿宋_GB2312" w:cs="仿宋_GB2312"/>
          <w:color w:val="auto"/>
          <w:lang w:val="en-US" w:eastAsia="zh-CN"/>
        </w:rPr>
        <w:t>（附件3）；⑤工作案例（附件4）。</w:t>
      </w:r>
    </w:p>
    <w:p w14:paraId="2F255B69">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rPr>
      </w:pPr>
      <w:r>
        <w:rPr>
          <w:rFonts w:hint="eastAsia" w:ascii="仿宋_GB2312" w:hAnsi="仿宋_GB2312" w:eastAsia="仿宋_GB2312" w:cs="仿宋_GB2312"/>
          <w:b/>
          <w:bCs/>
          <w:color w:val="auto"/>
          <w:lang w:val="en-US" w:eastAsia="zh-CN"/>
        </w:rPr>
        <w:t>一般项目</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val="en-US"/>
        </w:rPr>
        <w:t>①</w:t>
      </w:r>
      <w:r>
        <w:rPr>
          <w:rFonts w:hint="eastAsia" w:ascii="仿宋_GB2312" w:hAnsi="仿宋_GB2312" w:eastAsia="仿宋_GB2312" w:cs="仿宋_GB2312"/>
          <w:color w:val="auto"/>
          <w:lang w:val="en-US" w:eastAsia="zh-CN"/>
        </w:rPr>
        <w:t>经费决算报告（附件2）</w:t>
      </w:r>
      <w:r>
        <w:rPr>
          <w:rFonts w:hint="eastAsia" w:ascii="仿宋_GB2312" w:hAnsi="仿宋_GB2312" w:eastAsia="仿宋_GB2312" w:cs="仿宋_GB2312"/>
          <w:color w:val="auto"/>
          <w:lang w:val="en-US"/>
        </w:rPr>
        <w:t>；②装入</w:t>
      </w:r>
      <w:r>
        <w:rPr>
          <w:rFonts w:hint="eastAsia" w:ascii="仿宋_GB2312" w:hAnsi="仿宋_GB2312" w:eastAsia="仿宋_GB2312" w:cs="仿宋_GB2312"/>
          <w:color w:val="auto"/>
          <w:lang w:val="en-US" w:eastAsia="zh-CN"/>
        </w:rPr>
        <w:t>专用</w:t>
      </w:r>
      <w:r>
        <w:rPr>
          <w:rFonts w:hint="eastAsia" w:ascii="仿宋_GB2312" w:hAnsi="仿宋_GB2312" w:eastAsia="仿宋_GB2312" w:cs="仿宋_GB2312"/>
          <w:color w:val="auto"/>
          <w:lang w:val="en-US"/>
        </w:rPr>
        <w:t>信封的</w:t>
      </w:r>
      <w:r>
        <w:rPr>
          <w:rFonts w:hint="eastAsia" w:ascii="仿宋_GB2312" w:hAnsi="仿宋_GB2312" w:eastAsia="仿宋_GB2312" w:cs="仿宋_GB2312"/>
          <w:color w:val="auto"/>
          <w:lang w:val="en-US" w:eastAsia="zh-CN"/>
        </w:rPr>
        <w:t>全套报销票据及附件</w:t>
      </w:r>
      <w:r>
        <w:rPr>
          <w:rFonts w:hint="eastAsia" w:ascii="仿宋_GB2312" w:hAnsi="仿宋_GB2312" w:eastAsia="仿宋_GB2312" w:cs="仿宋_GB2312"/>
          <w:color w:val="auto"/>
          <w:lang w:val="en-US"/>
        </w:rPr>
        <w:t>；③</w:t>
      </w:r>
      <w:r>
        <w:rPr>
          <w:rFonts w:hint="eastAsia" w:ascii="仿宋_GB2312" w:hAnsi="仿宋_GB2312" w:eastAsia="仿宋_GB2312" w:cs="仿宋_GB2312"/>
          <w:color w:val="auto"/>
          <w:lang w:val="en-US" w:eastAsia="zh-CN"/>
        </w:rPr>
        <w:t>不装入信封的</w:t>
      </w:r>
      <w:r>
        <w:rPr>
          <w:rFonts w:hint="eastAsia" w:ascii="仿宋_GB2312" w:hAnsi="仿宋_GB2312" w:eastAsia="仿宋_GB2312" w:cs="仿宋_GB2312"/>
          <w:color w:val="auto"/>
          <w:lang w:val="en-US"/>
        </w:rPr>
        <w:t>其他附加材料；④结项自查对照表（附件3）。</w:t>
      </w:r>
    </w:p>
    <w:p w14:paraId="6F0C4C0C">
      <w:pPr>
        <w:pageBreakBefore w:val="0"/>
        <w:kinsoku/>
        <w:wordWrap/>
        <w:autoSpaceDE/>
        <w:autoSpaceDN/>
        <w:bidi w:val="0"/>
        <w:spacing w:line="579"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其中，①④⑤均提供统一模板，须严格参照附件2、3、4逐项认真填写；②专用信封为学生活动费支出凭证专用信封，由学院统一在工作日前往学生处思政科领取；③所指的其他附加材料中，必须提供活动通知和参与活动人员名单，此外如适用，应提供奖品签收单等材料。活动通知、参与活动人员名单、奖品签收单可参考图1。</w:t>
      </w:r>
    </w:p>
    <w:p w14:paraId="2B1414E4">
      <w:pPr>
        <w:pStyle w:val="57"/>
        <w:keepNext w:val="0"/>
        <w:keepLines w:val="0"/>
        <w:pageBreakBefore w:val="0"/>
        <w:widowControl/>
        <w:kinsoku/>
        <w:wordWrap/>
        <w:overflowPunct w:val="0"/>
        <w:topLinePunct/>
        <w:autoSpaceDE/>
        <w:autoSpaceDN/>
        <w:bidi w:val="0"/>
        <w:adjustRightInd/>
        <w:snapToGrid/>
        <w:spacing w:line="240" w:lineRule="auto"/>
        <w:textAlignment w:val="auto"/>
        <w:rPr>
          <w:color w:val="auto"/>
        </w:rPr>
      </w:pPr>
      <w:r>
        <w:rPr>
          <w:color w:val="auto"/>
        </w:rPr>
        <w:drawing>
          <wp:inline distT="0" distB="0" distL="114300" distR="114300">
            <wp:extent cx="1671955" cy="2160270"/>
            <wp:effectExtent l="0" t="0" r="4445" b="3810"/>
            <wp:docPr id="9" name="图片 9" descr="8b9e0a260faf28ee093658c57c181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9e0a260faf28ee093658c57c18129a"/>
                    <pic:cNvPicPr>
                      <a:picLocks noChangeAspect="1"/>
                    </pic:cNvPicPr>
                  </pic:nvPicPr>
                  <pic:blipFill>
                    <a:blip r:embed="rId6"/>
                    <a:stretch>
                      <a:fillRect/>
                    </a:stretch>
                  </pic:blipFill>
                  <pic:spPr>
                    <a:xfrm>
                      <a:off x="0" y="0"/>
                      <a:ext cx="1671955" cy="2160270"/>
                    </a:xfrm>
                    <a:prstGeom prst="rect">
                      <a:avLst/>
                    </a:prstGeom>
                  </pic:spPr>
                </pic:pic>
              </a:graphicData>
            </a:graphic>
          </wp:inline>
        </w:drawing>
      </w:r>
      <w:r>
        <w:rPr>
          <w:color w:val="auto"/>
        </w:rPr>
        <w:drawing>
          <wp:inline distT="0" distB="0" distL="114300" distR="114300">
            <wp:extent cx="1711325" cy="2160270"/>
            <wp:effectExtent l="0" t="0" r="1079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rcRect t="2175" r="59633"/>
                    <a:stretch>
                      <a:fillRect/>
                    </a:stretch>
                  </pic:blipFill>
                  <pic:spPr>
                    <a:xfrm>
                      <a:off x="0" y="0"/>
                      <a:ext cx="1711325" cy="2160270"/>
                    </a:xfrm>
                    <a:prstGeom prst="rect">
                      <a:avLst/>
                    </a:prstGeom>
                    <a:noFill/>
                    <a:ln>
                      <a:noFill/>
                    </a:ln>
                  </pic:spPr>
                </pic:pic>
              </a:graphicData>
            </a:graphic>
          </wp:inline>
        </w:drawing>
      </w:r>
      <w:r>
        <w:rPr>
          <w:color w:val="auto"/>
        </w:rPr>
        <w:drawing>
          <wp:inline distT="0" distB="0" distL="114300" distR="114300">
            <wp:extent cx="1800860" cy="2160270"/>
            <wp:effectExtent l="0" t="0" r="1270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rcRect l="57059" t="5439" r="8706" b="1433"/>
                    <a:stretch>
                      <a:fillRect/>
                    </a:stretch>
                  </pic:blipFill>
                  <pic:spPr>
                    <a:xfrm>
                      <a:off x="0" y="0"/>
                      <a:ext cx="1800860" cy="2160270"/>
                    </a:xfrm>
                    <a:prstGeom prst="rect">
                      <a:avLst/>
                    </a:prstGeom>
                    <a:noFill/>
                    <a:ln>
                      <a:noFill/>
                    </a:ln>
                  </pic:spPr>
                </pic:pic>
              </a:graphicData>
            </a:graphic>
          </wp:inline>
        </w:drawing>
      </w:r>
    </w:p>
    <w:p w14:paraId="515A4820">
      <w:pPr>
        <w:pStyle w:val="57"/>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图1 活动通知、参与活动人员名单、奖品签收单相关示例</w:t>
      </w:r>
    </w:p>
    <w:p w14:paraId="5673F17A">
      <w:pPr>
        <w:pageBreakBefore w:val="0"/>
        <w:kinsoku/>
        <w:wordWrap/>
        <w:autoSpaceDE/>
        <w:autoSpaceDN/>
        <w:bidi w:val="0"/>
        <w:spacing w:line="579" w:lineRule="exac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申报材料中预期得到的</w:t>
      </w:r>
      <w:r>
        <w:rPr>
          <w:rFonts w:hint="eastAsia" w:ascii="仿宋_GB2312" w:hAnsi="仿宋_GB2312" w:eastAsia="仿宋_GB2312" w:cs="仿宋_GB2312"/>
          <w:b/>
          <w:bCs/>
          <w:color w:val="auto"/>
          <w:highlight w:val="none"/>
          <w:lang w:val="en-US" w:eastAsia="zh-CN"/>
        </w:rPr>
        <w:t>数字化成果及相关素材</w:t>
      </w:r>
      <w:r>
        <w:rPr>
          <w:rFonts w:hint="eastAsia" w:ascii="仿宋_GB2312" w:hAnsi="仿宋_GB2312" w:eastAsia="仿宋_GB2312" w:cs="仿宋_GB2312"/>
          <w:color w:val="auto"/>
          <w:highlight w:val="none"/>
          <w:lang w:val="en-US" w:eastAsia="zh-CN"/>
        </w:rPr>
        <w:t>也应作为结项材料的一部分。</w:t>
      </w:r>
      <w:r>
        <w:rPr>
          <w:rFonts w:hint="eastAsia" w:ascii="仿宋_GB2312" w:hAnsi="仿宋_GB2312" w:eastAsia="仿宋_GB2312" w:cs="仿宋_GB2312"/>
          <w:color w:val="auto"/>
          <w:lang w:val="en-US"/>
        </w:rPr>
        <w:t>鼓励</w:t>
      </w:r>
      <w:r>
        <w:rPr>
          <w:rFonts w:hint="eastAsia" w:ascii="仿宋_GB2312" w:hAnsi="仿宋_GB2312" w:eastAsia="仿宋_GB2312" w:cs="仿宋_GB2312"/>
          <w:color w:val="auto"/>
          <w:lang w:val="en-US" w:eastAsia="zh-CN"/>
        </w:rPr>
        <w:t>各</w:t>
      </w:r>
      <w:r>
        <w:rPr>
          <w:rFonts w:hint="eastAsia" w:ascii="仿宋_GB2312" w:hAnsi="仿宋_GB2312" w:eastAsia="仿宋_GB2312" w:cs="仿宋_GB2312"/>
          <w:color w:val="auto"/>
          <w:lang w:val="en-US"/>
        </w:rPr>
        <w:t>项目团队</w:t>
      </w:r>
      <w:r>
        <w:rPr>
          <w:rFonts w:hint="eastAsia" w:ascii="仿宋_GB2312" w:hAnsi="仿宋_GB2312" w:eastAsia="仿宋_GB2312" w:cs="仿宋_GB2312"/>
          <w:b/>
          <w:bCs/>
          <w:color w:val="auto"/>
          <w:lang w:val="en-US" w:eastAsia="zh-CN"/>
        </w:rPr>
        <w:t>投稿至“支部书济”微信公众号</w:t>
      </w:r>
      <w:r>
        <w:rPr>
          <w:rFonts w:hint="eastAsia" w:ascii="仿宋_GB2312" w:hAnsi="仿宋_GB2312" w:eastAsia="仿宋_GB2312" w:cs="仿宋_GB2312"/>
          <w:color w:val="auto"/>
          <w:lang w:val="en-US" w:eastAsia="zh-CN"/>
        </w:rPr>
        <w:t>进行宣传推广。</w:t>
      </w:r>
    </w:p>
    <w:p w14:paraId="05B52A48">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highlight w:val="none"/>
          <w:lang w:val="en-US" w:eastAsia="zh-CN"/>
        </w:rPr>
        <w:t>对于未产生任何经费支出的项目团队，需提交①经费决算报告和③附加材料作为结题报告。</w:t>
      </w:r>
    </w:p>
    <w:p w14:paraId="5DE06D70">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结项材料如何提交？</w:t>
      </w:r>
    </w:p>
    <w:p w14:paraId="47EDEC2C">
      <w:pPr>
        <w:pStyle w:val="4"/>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各项目团队需于截止日期前分别提交纸质版和电子版材料。其中，①②③④应由项目团队</w:t>
      </w:r>
      <w:r>
        <w:rPr>
          <w:rFonts w:hint="eastAsia" w:ascii="仿宋_GB2312" w:hAnsi="仿宋_GB2312" w:eastAsia="仿宋_GB2312" w:cs="仿宋_GB2312"/>
          <w:b/>
          <w:bCs/>
          <w:color w:val="auto"/>
          <w:lang w:val="en-US" w:eastAsia="zh-CN"/>
        </w:rPr>
        <w:t>提交纸质版至学院</w:t>
      </w:r>
      <w:r>
        <w:rPr>
          <w:rFonts w:hint="eastAsia" w:ascii="仿宋_GB2312" w:hAnsi="仿宋_GB2312" w:eastAsia="仿宋_GB2312" w:cs="仿宋_GB2312"/>
          <w:color w:val="auto"/>
          <w:lang w:val="en-US" w:eastAsia="zh-CN"/>
        </w:rPr>
        <w:t>，由学院审核签章后，统一交至学工部；①⑤应由项目团队同步</w:t>
      </w:r>
      <w:r>
        <w:rPr>
          <w:rFonts w:hint="eastAsia" w:ascii="仿宋_GB2312" w:hAnsi="仿宋_GB2312" w:eastAsia="仿宋_GB2312" w:cs="仿宋_GB2312"/>
          <w:b/>
          <w:bCs/>
          <w:color w:val="auto"/>
          <w:lang w:val="en-US" w:eastAsia="zh-CN"/>
        </w:rPr>
        <w:t>提交电子版至指定链接</w:t>
      </w:r>
      <w:r>
        <w:rPr>
          <w:rFonts w:hint="eastAsia" w:ascii="仿宋_GB2312" w:hAnsi="仿宋_GB2312" w:eastAsia="仿宋_GB2312" w:cs="仿宋_GB2312"/>
          <w:color w:val="auto"/>
          <w:lang w:val="en-US" w:eastAsia="zh-CN"/>
        </w:rPr>
        <w:t>（一般项目不要求提交⑤），链接将在结项通知中公布。申报材料中预期得到的</w:t>
      </w:r>
      <w:r>
        <w:rPr>
          <w:rFonts w:hint="eastAsia" w:ascii="仿宋_GB2312" w:hAnsi="仿宋_GB2312" w:eastAsia="仿宋_GB2312" w:cs="仿宋_GB2312"/>
          <w:b/>
          <w:bCs/>
          <w:color w:val="auto"/>
          <w:lang w:val="en-US" w:eastAsia="zh-CN"/>
        </w:rPr>
        <w:t>数字化成果及相关素材</w:t>
      </w:r>
      <w:r>
        <w:rPr>
          <w:rFonts w:hint="eastAsia" w:ascii="仿宋_GB2312" w:hAnsi="仿宋_GB2312" w:eastAsia="仿宋_GB2312" w:cs="仿宋_GB2312"/>
          <w:color w:val="auto"/>
          <w:lang w:val="en-US" w:eastAsia="zh-CN"/>
        </w:rPr>
        <w:t>也应在结项时一并提交至链接。</w:t>
      </w:r>
    </w:p>
    <w:p w14:paraId="1225DD7B">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结项材料有哪些签章要求？</w:t>
      </w:r>
    </w:p>
    <w:p w14:paraId="657A919B">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lang w:val="en-US" w:eastAsia="zh-CN"/>
        </w:rPr>
        <w:t>所有纸质版结项材料</w:t>
      </w:r>
      <w:r>
        <w:rPr>
          <w:rFonts w:hint="eastAsia" w:ascii="仿宋_GB2312" w:hAnsi="仿宋_GB2312" w:eastAsia="仿宋_GB2312" w:cs="仿宋_GB2312"/>
          <w:color w:val="auto"/>
          <w:lang w:val="en-US" w:eastAsia="zh-CN"/>
        </w:rPr>
        <w:t>需</w:t>
      </w:r>
      <w:r>
        <w:rPr>
          <w:rFonts w:hint="eastAsia" w:ascii="仿宋_GB2312" w:hAnsi="仿宋_GB2312" w:eastAsia="仿宋_GB2312" w:cs="仿宋_GB2312"/>
          <w:b w:val="0"/>
          <w:bCs w:val="0"/>
          <w:color w:val="auto"/>
          <w:lang w:val="en-US" w:eastAsia="zh-CN"/>
        </w:rPr>
        <w:t>按模板要求进行签字盖章</w:t>
      </w:r>
      <w:r>
        <w:rPr>
          <w:rFonts w:hint="eastAsia" w:ascii="仿宋_GB2312" w:hAnsi="仿宋_GB2312" w:eastAsia="仿宋_GB2312" w:cs="仿宋_GB2312"/>
          <w:color w:val="auto"/>
          <w:lang w:val="en-US" w:eastAsia="zh-CN"/>
        </w:rPr>
        <w:t>，无完整签章的材料将予以退回。盖章应符合规范要求，印章端正、居中下压签名和日期。报销专用信封使用封条密封后，也应签字并</w:t>
      </w:r>
      <w:r>
        <w:rPr>
          <w:rFonts w:hint="eastAsia" w:ascii="仿宋_GB2312" w:hAnsi="仿宋_GB2312" w:eastAsia="仿宋_GB2312" w:cs="仿宋_GB2312"/>
          <w:b w:val="0"/>
          <w:bCs w:val="0"/>
          <w:color w:val="auto"/>
          <w:lang w:val="en-US" w:eastAsia="zh-CN"/>
        </w:rPr>
        <w:t>加盖骑缝公章</w:t>
      </w:r>
      <w:r>
        <w:rPr>
          <w:rFonts w:hint="eastAsia" w:ascii="仿宋_GB2312" w:hAnsi="仿宋_GB2312" w:eastAsia="仿宋_GB2312" w:cs="仿宋_GB2312"/>
          <w:color w:val="auto"/>
          <w:lang w:val="en-US" w:eastAsia="zh-CN"/>
        </w:rPr>
        <w:t>。</w:t>
      </w:r>
    </w:p>
    <w:p w14:paraId="09013EFF">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未按时提交材料/材料不符合要求会有什么影响？</w:t>
      </w:r>
    </w:p>
    <w:p w14:paraId="7930882B">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审核部门将对未按时提交材料的团队进行统一催办，对材料不符合要求的团队注明具体问题，并反馈至支部要求补正、整改材料。逾期仍未提交或多次整改仍不符合要求的，视为结项不合格，取消该支部后续参与“对标争先”项目申报资格，且已使用经费将按学校规定追缴。</w:t>
      </w:r>
    </w:p>
    <w:p w14:paraId="0F0070B7">
      <w:pPr>
        <w:pStyle w:val="2"/>
        <w:pageBreakBefore w:val="0"/>
        <w:kinsoku/>
        <w:wordWrap/>
        <w:autoSpaceDE/>
        <w:autoSpaceDN/>
        <w:bidi w:val="0"/>
        <w:spacing w:line="579" w:lineRule="exact"/>
        <w:textAlignment w:val="auto"/>
        <w:rPr>
          <w:rFonts w:hint="eastAsia"/>
          <w:color w:val="auto"/>
          <w:lang w:val="en-US" w:eastAsia="zh-CN"/>
        </w:rPr>
      </w:pPr>
      <w:r>
        <w:rPr>
          <w:rFonts w:hint="eastAsia"/>
          <w:color w:val="auto"/>
          <w:lang w:val="en-US" w:eastAsia="zh-CN"/>
        </w:rPr>
        <w:t>报销基础规范问题</w:t>
      </w:r>
    </w:p>
    <w:p w14:paraId="522B9472">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专项经费各主体责任是什么？</w:t>
      </w:r>
    </w:p>
    <w:p w14:paraId="75EF9902">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对标争先建设活动专项经费中各主体的责任如图2所示。</w:t>
      </w:r>
    </w:p>
    <w:p w14:paraId="4D95C8C0">
      <w:pPr>
        <w:pStyle w:val="57"/>
        <w:keepNext w:val="0"/>
        <w:keepLines w:val="0"/>
        <w:pageBreakBefore w:val="0"/>
        <w:widowControl/>
        <w:kinsoku/>
        <w:wordWrap/>
        <w:overflowPunct w:val="0"/>
        <w:topLinePunct/>
        <w:autoSpaceDE/>
        <w:autoSpaceDN/>
        <w:bidi w:val="0"/>
        <w:adjustRightInd/>
        <w:snapToGrid/>
        <w:spacing w:line="240" w:lineRule="auto"/>
        <w:textAlignment w:val="auto"/>
        <w:rPr>
          <w:color w:val="auto"/>
        </w:rPr>
      </w:pPr>
      <w:r>
        <w:rPr>
          <w:color w:val="auto"/>
        </w:rPr>
        <w:drawing>
          <wp:inline distT="0" distB="0" distL="114300" distR="114300">
            <wp:extent cx="5398770" cy="25222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3440" r="2833"/>
                    <a:stretch>
                      <a:fillRect/>
                    </a:stretch>
                  </pic:blipFill>
                  <pic:spPr>
                    <a:xfrm>
                      <a:off x="0" y="0"/>
                      <a:ext cx="5398770" cy="2522220"/>
                    </a:xfrm>
                    <a:prstGeom prst="rect">
                      <a:avLst/>
                    </a:prstGeom>
                    <a:noFill/>
                    <a:ln>
                      <a:noFill/>
                    </a:ln>
                  </pic:spPr>
                </pic:pic>
              </a:graphicData>
            </a:graphic>
          </wp:inline>
        </w:drawing>
      </w:r>
    </w:p>
    <w:p w14:paraId="201C32FA">
      <w:pPr>
        <w:pStyle w:val="57"/>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图2 对标争先建设活动专项经费各主体责任</w:t>
      </w:r>
    </w:p>
    <w:p w14:paraId="186E176D">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报销形式和范围是什么？</w:t>
      </w:r>
    </w:p>
    <w:p w14:paraId="26FB2EFB">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对标争先活动使用学生活动费支出凭证专用信封报销，经费按核算金额拨付至项目负责人在学校财务系统绑定的银行卡，请确保学号或工号准确。</w:t>
      </w:r>
    </w:p>
    <w:p w14:paraId="76B83676">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学生活动专用信封不支持对公转账的报销方式，若存在该支出，请先行进行垫付，或与商家协商报销后再进行支付。若发票金额超过1000元，应使用公务卡或其他银行卡先垫付费用。</w:t>
      </w:r>
    </w:p>
    <w:p w14:paraId="71688702">
      <w:pPr>
        <w:pStyle w:val="4"/>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学生活动专用信封的报销范围仅为学生活动费用，支出费用类型包括文件资料印刷费、会场费用、交通费、住宿费、工作简餐、舞台音响灯光、服装费用及其他费用。发票开具时间应在活动开展期间。</w:t>
      </w:r>
    </w:p>
    <w:p w14:paraId="1290C59A">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发票的基础要求是什么？</w:t>
      </w:r>
    </w:p>
    <w:p w14:paraId="0FC93F71">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非定额发票的购买方或付款人名称（抬头）必须填写“同济大学”，不得空白，纳税人识别号为12100000425006125J，具体信息可见同济大学财务处官方网站。</w:t>
      </w:r>
    </w:p>
    <w:p w14:paraId="63A12D83">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出现以下情况的发票属于无效发票，不予报销：①抬头、税号错误或缺失的；②金额超限但未能提供附件的；③发票信息模糊、涂改、破损的；④无发票专用章或公章的；⑤票据类型与实际支出不符的；⑥非项目活动相关的；⑦其他不符合国家发票管理规定和同济大学财务要求的。</w:t>
      </w:r>
    </w:p>
    <w:p w14:paraId="4E3D09C3">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什么情况下需要额外提供附件？</w:t>
      </w:r>
    </w:p>
    <w:p w14:paraId="073C5BE8">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①发票面额≥500元：发票应包含明细，否则需另提供由对方单位盖章的清单；②发票面额＞1000元：除上述要求外，还需附加支付记录（微信/支付宝/银行卡付款截图，内含付款人、付款时间、金额、收款方）。</w:t>
      </w:r>
    </w:p>
    <w:p w14:paraId="15928333">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专用信封封装要求是什么？</w:t>
      </w:r>
    </w:p>
    <w:p w14:paraId="7E5BE7A0">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所有报销票据及附件需按“报销票据—相关附件”的顺序逐条整理，并装入专用信封，信封表面信息填写完整；支部提交至学院时无需密封，学院审核通过后统一盖章密封，与其他结项材料一起交至学工部。具体要求见图3。</w:t>
      </w:r>
    </w:p>
    <w:p w14:paraId="5CA85187">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drawing>
          <wp:inline distT="0" distB="0" distL="114300" distR="114300">
            <wp:extent cx="4679950" cy="2962910"/>
            <wp:effectExtent l="0" t="0" r="1397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lum bright="6000"/>
                    </a:blip>
                    <a:stretch>
                      <a:fillRect/>
                    </a:stretch>
                  </pic:blipFill>
                  <pic:spPr>
                    <a:xfrm>
                      <a:off x="0" y="0"/>
                      <a:ext cx="4679950" cy="2962910"/>
                    </a:xfrm>
                    <a:prstGeom prst="rect">
                      <a:avLst/>
                    </a:prstGeom>
                    <a:noFill/>
                    <a:ln>
                      <a:noFill/>
                    </a:ln>
                  </pic:spPr>
                </pic:pic>
              </a:graphicData>
            </a:graphic>
          </wp:inline>
        </w:drawing>
      </w:r>
    </w:p>
    <w:p w14:paraId="37085587">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drawing>
          <wp:inline distT="0" distB="0" distL="114300" distR="114300">
            <wp:extent cx="4679950" cy="2699385"/>
            <wp:effectExtent l="0" t="0" r="1397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4679950" cy="2699385"/>
                    </a:xfrm>
                    <a:prstGeom prst="rect">
                      <a:avLst/>
                    </a:prstGeom>
                    <a:noFill/>
                    <a:ln>
                      <a:noFill/>
                    </a:ln>
                  </pic:spPr>
                </pic:pic>
              </a:graphicData>
            </a:graphic>
          </wp:inline>
        </w:drawing>
      </w:r>
    </w:p>
    <w:p w14:paraId="39770B8C">
      <w:pPr>
        <w:pStyle w:val="57"/>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图3 专用信封的使用要求</w:t>
      </w:r>
    </w:p>
    <w:p w14:paraId="2DE18A44">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经费使用原则</w:t>
      </w:r>
    </w:p>
    <w:p w14:paraId="59211E68">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遵循勤俭节约、专款专用原则，经费使用严格匹配项目申报计划，不得超立项额度报销，</w:t>
      </w:r>
      <w:r>
        <w:rPr>
          <w:rFonts w:hint="eastAsia" w:ascii="仿宋_GB2312" w:hAnsi="仿宋_GB2312" w:eastAsia="仿宋_GB2312" w:cs="仿宋_GB2312"/>
          <w:b/>
          <w:bCs/>
          <w:color w:val="auto"/>
          <w:lang w:val="en-US" w:eastAsia="zh-CN"/>
        </w:rPr>
        <w:t>超额部分不予报销</w:t>
      </w:r>
      <w:r>
        <w:rPr>
          <w:rFonts w:hint="eastAsia" w:ascii="仿宋_GB2312" w:hAnsi="仿宋_GB2312" w:eastAsia="仿宋_GB2312" w:cs="仿宋_GB2312"/>
          <w:color w:val="auto"/>
          <w:lang w:val="en-US" w:eastAsia="zh-CN"/>
        </w:rPr>
        <w:t>；不得挪作他用，避免铺张浪费。</w:t>
      </w:r>
    </w:p>
    <w:p w14:paraId="6C1FF24E">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val="0"/>
          <w:bCs w:val="0"/>
          <w:color w:val="auto"/>
          <w:lang w:val="en-US" w:eastAsia="zh-CN"/>
        </w:rPr>
        <w:t>不得使用经费发放纪念品、礼品等；不得使用经费进行私人聚餐、桌游、KTV 等纯娱乐性活动；不得使用项目资金支持各种罚款、捐款、赞助、投资等；</w:t>
      </w:r>
      <w:r>
        <w:rPr>
          <w:rFonts w:hint="eastAsia" w:ascii="仿宋_GB2312" w:hAnsi="仿宋_GB2312" w:eastAsia="仿宋_GB2312" w:cs="仿宋_GB2312"/>
          <w:color w:val="auto"/>
          <w:lang w:val="en-US" w:eastAsia="zh-CN"/>
        </w:rPr>
        <w:t>不得利用虚假票据套取资金</w:t>
      </w:r>
      <w:r>
        <w:rPr>
          <w:rFonts w:hint="eastAsia" w:ascii="仿宋_GB2312" w:hAnsi="仿宋_GB2312" w:eastAsia="仿宋_GB2312" w:cs="仿宋_GB2312"/>
          <w:b w:val="0"/>
          <w:bCs w:val="0"/>
          <w:color w:val="auto"/>
          <w:lang w:val="en-US" w:eastAsia="zh-CN"/>
        </w:rPr>
        <w:t>；</w:t>
      </w:r>
      <w:r>
        <w:rPr>
          <w:rFonts w:hint="eastAsia" w:ascii="仿宋_GB2312" w:hAnsi="仿宋_GB2312" w:eastAsia="仿宋_GB2312" w:cs="仿宋_GB2312"/>
          <w:color w:val="auto"/>
          <w:lang w:val="en-US" w:eastAsia="zh-CN"/>
        </w:rPr>
        <w:t>不得</w:t>
      </w:r>
      <w:r>
        <w:rPr>
          <w:rFonts w:hint="eastAsia" w:ascii="仿宋_GB2312" w:hAnsi="仿宋_GB2312" w:eastAsia="仿宋_GB2312" w:cs="仿宋_GB2312"/>
          <w:b w:val="0"/>
          <w:bCs w:val="0"/>
          <w:color w:val="auto"/>
          <w:lang w:val="en-US" w:eastAsia="zh-CN"/>
        </w:rPr>
        <w:t>列支个人和家庭消费支出</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b w:val="0"/>
          <w:bCs w:val="0"/>
          <w:color w:val="auto"/>
          <w:lang w:val="en-US" w:eastAsia="zh-CN"/>
        </w:rPr>
        <w:t>不得</w:t>
      </w:r>
      <w:r>
        <w:rPr>
          <w:rFonts w:hint="eastAsia" w:ascii="仿宋_GB2312" w:hAnsi="仿宋_GB2312" w:eastAsia="仿宋_GB2312" w:cs="仿宋_GB2312"/>
          <w:color w:val="auto"/>
          <w:lang w:val="en-US" w:eastAsia="zh-CN"/>
        </w:rPr>
        <w:t>购买与学生党建活动无关的物品、设备。</w:t>
      </w:r>
    </w:p>
    <w:p w14:paraId="5AC5B68B">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根据财务处规定，财务票据的报销责任自报销经办人将经过审批的报销票据提交至财务处之时起，项目负责人、报销经办人、项目指导老师等有关人员的相关责任就即时赋予。对于弄虚作假等违规报销行为，学校将按规章制度追究相关人员的责任。指导老师应加强对学生的诚信教育，遵守财务管理规范。</w:t>
      </w:r>
    </w:p>
    <w:p w14:paraId="4097B183">
      <w:pPr>
        <w:pStyle w:val="2"/>
        <w:pageBreakBefore w:val="0"/>
        <w:kinsoku/>
        <w:wordWrap/>
        <w:autoSpaceDE/>
        <w:autoSpaceDN/>
        <w:bidi w:val="0"/>
        <w:spacing w:line="579" w:lineRule="exact"/>
        <w:textAlignment w:val="auto"/>
        <w:rPr>
          <w:rFonts w:hint="eastAsia"/>
          <w:color w:val="auto"/>
          <w:lang w:val="en-US" w:eastAsia="zh-CN"/>
        </w:rPr>
      </w:pPr>
      <w:r>
        <w:rPr>
          <w:rFonts w:hint="eastAsia"/>
          <w:color w:val="auto"/>
          <w:lang w:val="en-US" w:eastAsia="zh-CN"/>
        </w:rPr>
        <w:t>各类别支出的特殊要求</w:t>
      </w:r>
    </w:p>
    <w:p w14:paraId="2A19BC73">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交通费用报销有哪些特殊要求？</w:t>
      </w:r>
    </w:p>
    <w:p w14:paraId="5D1AF43B">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①网约车发票：必须附带对应行程单，行程单需标注出发地、目的地、乘车时间、金额，与发票信息一致；②出租车、地铁等纸质交通发票：必须提供原件，复印件无效，票据需清晰可辨，无涂改、破损；③交通卡充值发票不予报销；④公共交通发票需与项目活动时间、地点匹配，非项目相关交通费用不予报销。</w:t>
      </w:r>
    </w:p>
    <w:p w14:paraId="475D7002">
      <w:pPr>
        <w:pStyle w:val="3"/>
        <w:pageBreakBefore w:val="0"/>
        <w:kinsoku/>
        <w:wordWrap/>
        <w:autoSpaceDE/>
        <w:autoSpaceDN/>
        <w:bidi w:val="0"/>
        <w:spacing w:line="579" w:lineRule="exact"/>
        <w:textAlignment w:val="auto"/>
        <w:rPr>
          <w:rFonts w:hint="eastAsia"/>
          <w:color w:val="auto"/>
          <w:lang w:val="en-US" w:eastAsia="zh-CN"/>
        </w:rPr>
      </w:pPr>
      <w:r>
        <w:rPr>
          <w:rFonts w:hint="eastAsia"/>
          <w:color w:val="auto"/>
          <w:lang w:val="en-US" w:eastAsia="zh-CN"/>
        </w:rPr>
        <w:t>物品类发票有哪些特殊要求？</w:t>
      </w:r>
    </w:p>
    <w:p w14:paraId="6D0F8AAB">
      <w:pPr>
        <w:pStyle w:val="4"/>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①活动中产生的服装、书籍、笔记本等物品，需要附加经物资领取者签字的人员名单，且人员数量应与票据上的数量保持一致。②物资采购需贴合项目活动需求，不得采购与项目无关的礼品、奢侈品等；③书籍类发票应在发票明细中标明图书名称，书籍主题应与活动内容直接相关，符合正确的价值导向。</w:t>
      </w:r>
    </w:p>
    <w:p w14:paraId="3AE10D4F">
      <w:pPr>
        <w:pStyle w:val="3"/>
        <w:pageBreakBefore w:val="0"/>
        <w:kinsoku/>
        <w:wordWrap/>
        <w:autoSpaceDE/>
        <w:autoSpaceDN/>
        <w:bidi w:val="0"/>
        <w:spacing w:line="579" w:lineRule="exact"/>
        <w:textAlignment w:val="auto"/>
        <w:rPr>
          <w:rFonts w:hint="eastAsia"/>
          <w:color w:val="auto"/>
          <w:lang w:val="en-US" w:eastAsia="zh-CN"/>
        </w:rPr>
      </w:pPr>
      <w:r>
        <w:rPr>
          <w:rFonts w:hint="eastAsia"/>
          <w:color w:val="auto"/>
          <w:lang w:val="en-US" w:eastAsia="zh-CN"/>
        </w:rPr>
        <w:t>工作简餐费用报销有哪些特殊要求？</w:t>
      </w:r>
    </w:p>
    <w:p w14:paraId="566C4D69">
      <w:pPr>
        <w:pageBreakBefore w:val="0"/>
        <w:kinsoku/>
        <w:wordWrap/>
        <w:autoSpaceDE/>
        <w:autoSpaceDN/>
        <w:bidi w:val="0"/>
        <w:spacing w:line="579" w:lineRule="exact"/>
        <w:textAlignment w:val="auto"/>
        <w:rPr>
          <w:rFonts w:hint="eastAsia"/>
          <w:color w:val="auto"/>
          <w:lang w:val="en-US" w:eastAsia="zh-CN"/>
        </w:rPr>
      </w:pPr>
      <w:r>
        <w:rPr>
          <w:rFonts w:hint="eastAsia" w:ascii="仿宋_GB2312" w:hAnsi="仿宋_GB2312" w:eastAsia="仿宋_GB2312" w:cs="仿宋_GB2312"/>
          <w:color w:val="auto"/>
          <w:lang w:val="en-US" w:eastAsia="zh-CN"/>
        </w:rPr>
        <w:t>①尽量避免餐饮类支出，将经费投入到对学生成长发展有益的地方，确有需求的需保证餐饮费用与项目活动直接相关，不得报销无实际活动的餐饮支出；②餐饮发票需附加经用餐人签字的用餐名单，注明用餐时间、地点、事由；③工作简餐费用原则上人均不超过30元。</w:t>
      </w:r>
    </w:p>
    <w:p w14:paraId="0C85225D">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奖品类发票的报销要求是什么？</w:t>
      </w:r>
    </w:p>
    <w:p w14:paraId="4B8A9EC8">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①尽量避免发放奖品，因组织竞赛等活动产生的必要激励性奖励可少量发放奖品，严禁直接发放纪念品、礼品等；②发放奖品时需制作奖品签收单，注明奖品名称、发放对象、发放时间，由领取人签字确认，签收人数与奖品购买数相一致，无签收单的奖品费用不予报销；</w:t>
      </w:r>
    </w:p>
    <w:p w14:paraId="20349103">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其他类支出有没有特殊要求？</w:t>
      </w:r>
    </w:p>
    <w:p w14:paraId="7FB44868">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经费不支持发放评审费、劳务费、专家咨询费、勤工助学费等人员酬金，若有相关需求请提前联系学生处负责老师。</w:t>
      </w:r>
    </w:p>
    <w:p w14:paraId="08E5A7FA">
      <w:pPr>
        <w:pStyle w:val="2"/>
        <w:pageBreakBefore w:val="0"/>
        <w:kinsoku/>
        <w:wordWrap/>
        <w:autoSpaceDE/>
        <w:autoSpaceDN/>
        <w:bidi w:val="0"/>
        <w:spacing w:line="579" w:lineRule="exact"/>
        <w:textAlignment w:val="auto"/>
        <w:rPr>
          <w:rFonts w:hint="eastAsia"/>
          <w:color w:val="auto"/>
          <w:lang w:val="en-US" w:eastAsia="zh-CN"/>
        </w:rPr>
      </w:pPr>
      <w:r>
        <w:rPr>
          <w:rFonts w:hint="eastAsia"/>
          <w:color w:val="auto"/>
          <w:lang w:val="en-US" w:eastAsia="zh-CN"/>
        </w:rPr>
        <w:t>常见问题</w:t>
      </w:r>
    </w:p>
    <w:p w14:paraId="67D68EEA">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学院审核过程中重点核对哪些内容？</w:t>
      </w:r>
    </w:p>
    <w:p w14:paraId="3BC3F4EB">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①结项材料及其签章的完整性；②发票抬头、税号、金额的准确性；③发票总金额是否无误，是否超立项额度；④附件（活动通知、支付记录、清单、签收单等）的完整性、匹配性；⑤经费使用与项目申报计划的一致性。</w:t>
      </w:r>
    </w:p>
    <w:p w14:paraId="50ADC1BF">
      <w:pPr>
        <w:pStyle w:val="3"/>
        <w:pageBreakBefore w:val="0"/>
        <w:kinsoku/>
        <w:wordWrap/>
        <w:autoSpaceDE/>
        <w:autoSpaceDN/>
        <w:bidi w:val="0"/>
        <w:spacing w:line="579" w:lineRule="exact"/>
        <w:textAlignment w:val="auto"/>
        <w:rPr>
          <w:rFonts w:hint="eastAsia"/>
          <w:color w:val="auto"/>
          <w:lang w:val="en-US" w:eastAsia="zh-CN"/>
        </w:rPr>
      </w:pPr>
      <w:r>
        <w:rPr>
          <w:rFonts w:hint="eastAsia" w:ascii="楷体_GB2312" w:hAnsi="楷体_GB2312" w:eastAsia="楷体_GB2312" w:cs="楷体_GB2312"/>
          <w:color w:val="auto"/>
          <w:lang w:val="en-US" w:eastAsia="zh-CN"/>
        </w:rPr>
        <w:t>项目开展过程中，哪些材料需要提前留存以备报</w:t>
      </w:r>
      <w:r>
        <w:rPr>
          <w:rFonts w:hint="eastAsia"/>
          <w:color w:val="auto"/>
          <w:lang w:val="en-US" w:eastAsia="zh-CN"/>
        </w:rPr>
        <w:t>销？</w:t>
      </w:r>
    </w:p>
    <w:p w14:paraId="25EBE5BF">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需全程留存活动通知、参与人员名单、现场照片、发票、付款截图、物品/服务清单、各类签收单等材料，所有材料需与项目活动时间、内容一一对应，做到可追溯、可核查。</w:t>
      </w:r>
    </w:p>
    <w:p w14:paraId="4F904900">
      <w:pPr>
        <w:pStyle w:val="3"/>
        <w:pageBreakBefore w:val="0"/>
        <w:kinsoku/>
        <w:wordWrap/>
        <w:autoSpaceDE/>
        <w:autoSpaceDN/>
        <w:bidi w:val="0"/>
        <w:spacing w:line="579" w:lineRule="exact"/>
        <w:textAlignment w:val="auto"/>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lang w:val="en-US" w:eastAsia="zh-CN"/>
        </w:rPr>
        <w:t>跨支部联</w:t>
      </w:r>
      <w:bookmarkStart w:id="0" w:name="_GoBack"/>
      <w:bookmarkEnd w:id="0"/>
      <w:r>
        <w:rPr>
          <w:rFonts w:hint="eastAsia" w:ascii="楷体_GB2312" w:hAnsi="楷体_GB2312" w:eastAsia="楷体_GB2312" w:cs="楷体_GB2312"/>
          <w:color w:val="auto"/>
          <w:lang w:val="en-US" w:eastAsia="zh-CN"/>
        </w:rPr>
        <w:t>合开展的项目，该如何结项？</w:t>
      </w:r>
    </w:p>
    <w:p w14:paraId="6E9FE542">
      <w:pPr>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跨支部联合项目由牵头支部统一整理结项材料和报销票据，按一个项目进行申报，经费报销至牵头支部指定经办人。</w:t>
      </w:r>
    </w:p>
    <w:p w14:paraId="23BC33B0">
      <w:pPr>
        <w:pStyle w:val="2"/>
        <w:pageBreakBefore w:val="0"/>
        <w:kinsoku/>
        <w:wordWrap/>
        <w:autoSpaceDE/>
        <w:autoSpaceDN/>
        <w:bidi w:val="0"/>
        <w:spacing w:line="579" w:lineRule="exact"/>
        <w:textAlignment w:val="auto"/>
        <w:rPr>
          <w:rFonts w:hint="eastAsia"/>
          <w:color w:val="auto"/>
          <w:lang w:val="en-US" w:eastAsia="zh-CN"/>
        </w:rPr>
      </w:pPr>
      <w:r>
        <w:rPr>
          <w:rFonts w:hint="eastAsia"/>
          <w:color w:val="auto"/>
          <w:lang w:val="en-US" w:eastAsia="zh-CN"/>
        </w:rPr>
        <w:t>其他</w:t>
      </w:r>
    </w:p>
    <w:p w14:paraId="4620563F">
      <w:pPr>
        <w:pStyle w:val="4"/>
        <w:pageBreakBefore w:val="0"/>
        <w:kinsoku/>
        <w:wordWrap/>
        <w:autoSpaceDE/>
        <w:autoSpaceDN/>
        <w:bidi w:val="0"/>
        <w:spacing w:line="579"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未尽事宜，可参见《同济大学报销手册》。</w:t>
      </w:r>
    </w:p>
    <w:sectPr>
      <w:pgSz w:w="11906" w:h="16838"/>
      <w:pgMar w:top="2098" w:right="1531" w:bottom="1984" w:left="153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16"/>
      </w:pPr>
      <w:r>
        <w:separator/>
      </w:r>
    </w:p>
  </w:endnote>
  <w:endnote w:type="continuationSeparator" w:id="1">
    <w:p>
      <w:pPr>
        <w:spacing w:line="240" w:lineRule="auto"/>
        <w:ind w:firstLine="61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16"/>
      </w:pPr>
      <w:r>
        <w:separator/>
      </w:r>
    </w:p>
  </w:footnote>
  <w:footnote w:type="continuationSeparator" w:id="1">
    <w:p>
      <w:pPr>
        <w:spacing w:line="240" w:lineRule="auto"/>
        <w:ind w:firstLine="616"/>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A34B52"/>
    <w:multiLevelType w:val="multilevel"/>
    <w:tmpl w:val="D4A34B52"/>
    <w:lvl w:ilvl="0" w:tentative="0">
      <w:start w:val="1"/>
      <w:numFmt w:val="chineseCounting"/>
      <w:pStyle w:val="2"/>
      <w:suff w:val="nothing"/>
      <w:lvlText w:val="%1、"/>
      <w:lvlJc w:val="left"/>
      <w:pPr>
        <w:ind w:left="0" w:firstLine="40"/>
      </w:pPr>
      <w:rPr>
        <w:rFonts w:hint="eastAsia"/>
      </w:rPr>
    </w:lvl>
    <w:lvl w:ilvl="1" w:tentative="0">
      <w:start w:val="1"/>
      <w:numFmt w:val="decimal"/>
      <w:lvlRestart w:val="0"/>
      <w:pStyle w:val="3"/>
      <w:suff w:val="nothing"/>
      <w:lvlText w:val="问题%2: "/>
      <w:lvlJc w:val="left"/>
      <w:pPr>
        <w:tabs>
          <w:tab w:val="left" w:pos="0"/>
        </w:tabs>
        <w:ind w:left="0" w:firstLine="40"/>
      </w:pPr>
      <w:rPr>
        <w:rFonts w:hint="eastAsia"/>
      </w:rPr>
    </w:lvl>
    <w:lvl w:ilvl="2" w:tentative="0">
      <w:start w:val="1"/>
      <w:numFmt w:val="decimal"/>
      <w:pStyle w:val="5"/>
      <w:suff w:val="nothing"/>
      <w:lvlText w:val="%3．"/>
      <w:lvlJc w:val="left"/>
      <w:pPr>
        <w:ind w:left="0" w:firstLine="40"/>
      </w:pPr>
      <w:rPr>
        <w:rFonts w:hint="eastAsia"/>
      </w:rPr>
    </w:lvl>
    <w:lvl w:ilvl="3" w:tentative="0">
      <w:start w:val="1"/>
      <w:numFmt w:val="decimal"/>
      <w:pStyle w:val="6"/>
      <w:suff w:val="nothing"/>
      <w:lvlText w:val="（%4）"/>
      <w:lvlJc w:val="left"/>
      <w:pPr>
        <w:ind w:left="0" w:firstLine="40"/>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1">
    <w:nsid w:val="00000001"/>
    <w:multiLevelType w:val="singleLevel"/>
    <w:tmpl w:val="00000001"/>
    <w:lvl w:ilvl="0" w:tentative="0">
      <w:start w:val="1"/>
      <w:numFmt w:val="bullet"/>
      <w:pStyle w:val="15"/>
      <w:lvlText w:val=""/>
      <w:lvlJc w:val="left"/>
      <w:pPr>
        <w:tabs>
          <w:tab w:val="left" w:pos="1200"/>
        </w:tabs>
        <w:ind w:left="1200" w:hanging="360"/>
      </w:pPr>
      <w:rPr>
        <w:rFonts w:hint="default" w:ascii="Wingdings" w:hAnsi="Wingdings"/>
      </w:rPr>
    </w:lvl>
  </w:abstractNum>
  <w:abstractNum w:abstractNumId="2">
    <w:nsid w:val="0DFE4982"/>
    <w:multiLevelType w:val="singleLevel"/>
    <w:tmpl w:val="0DFE4982"/>
    <w:lvl w:ilvl="0" w:tentative="0">
      <w:start w:val="1"/>
      <w:numFmt w:val="decimal"/>
      <w:suff w:val="space"/>
      <w:lvlText w:val="%1."/>
      <w:lvlJc w:val="left"/>
      <w:pPr>
        <w:ind w:left="0" w:firstLine="616"/>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8C76D9"/>
    <w:rsid w:val="05E769C9"/>
    <w:rsid w:val="0B8C63B4"/>
    <w:rsid w:val="0D456D74"/>
    <w:rsid w:val="0E0802A4"/>
    <w:rsid w:val="15E53CBD"/>
    <w:rsid w:val="1C3B3861"/>
    <w:rsid w:val="1F173C0E"/>
    <w:rsid w:val="21FD18B0"/>
    <w:rsid w:val="28670D4A"/>
    <w:rsid w:val="337F3651"/>
    <w:rsid w:val="3D701DC7"/>
    <w:rsid w:val="41EA4FEF"/>
    <w:rsid w:val="43964C9F"/>
    <w:rsid w:val="4C41097D"/>
    <w:rsid w:val="569A16FA"/>
    <w:rsid w:val="59FB3352"/>
    <w:rsid w:val="5E0B3F22"/>
    <w:rsid w:val="60A56859"/>
    <w:rsid w:val="63100901"/>
    <w:rsid w:val="63F7386F"/>
    <w:rsid w:val="6F5D6170"/>
    <w:rsid w:val="708851D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76" w:lineRule="exact"/>
      <w:ind w:firstLine="1454" w:firstLineChars="200"/>
      <w:jc w:val="both"/>
    </w:pPr>
    <w:rPr>
      <w:rFonts w:ascii="仿宋" w:hAnsi="仿宋" w:eastAsia="仿宋" w:cs="Times New Roman"/>
      <w:color w:val="auto"/>
      <w:spacing w:val="-6"/>
      <w:kern w:val="2"/>
      <w:sz w:val="32"/>
      <w:szCs w:val="32"/>
      <w:lang w:val="en-US" w:eastAsia="zh-CN" w:bidi="ar-SA"/>
    </w:rPr>
  </w:style>
  <w:style w:type="paragraph" w:styleId="2">
    <w:name w:val="heading 1"/>
    <w:next w:val="1"/>
    <w:qFormat/>
    <w:uiPriority w:val="0"/>
    <w:pPr>
      <w:keepNext/>
      <w:keepLines/>
      <w:pageBreakBefore w:val="0"/>
      <w:widowControl/>
      <w:numPr>
        <w:ilvl w:val="0"/>
        <w:numId w:val="1"/>
      </w:numPr>
      <w:tabs>
        <w:tab w:val="left" w:pos="0"/>
      </w:tabs>
      <w:kinsoku/>
      <w:wordWrap/>
      <w:overflowPunct/>
      <w:topLinePunct w:val="0"/>
      <w:autoSpaceDE/>
      <w:autoSpaceDN/>
      <w:bidi w:val="0"/>
      <w:adjustRightInd w:val="0"/>
      <w:snapToGrid w:val="0"/>
      <w:spacing w:line="576" w:lineRule="exact"/>
      <w:ind w:left="0" w:leftChars="0" w:firstLine="640" w:firstLineChars="200"/>
      <w:textAlignment w:val="auto"/>
      <w:outlineLvl w:val="0"/>
    </w:pPr>
    <w:rPr>
      <w:rFonts w:ascii="黑体" w:hAnsi="黑体" w:eastAsia="黑体" w:cs="Times New Roman"/>
      <w:color w:val="auto"/>
      <w:kern w:val="44"/>
      <w:sz w:val="32"/>
      <w:szCs w:val="32"/>
      <w:lang w:val="en-US" w:eastAsia="zh-CN" w:bidi="ar-SA"/>
    </w:rPr>
  </w:style>
  <w:style w:type="paragraph" w:styleId="3">
    <w:name w:val="heading 2"/>
    <w:next w:val="4"/>
    <w:link w:val="60"/>
    <w:qFormat/>
    <w:uiPriority w:val="0"/>
    <w:pPr>
      <w:keepNext/>
      <w:keepLines/>
      <w:pageBreakBefore w:val="0"/>
      <w:widowControl/>
      <w:numPr>
        <w:ilvl w:val="1"/>
        <w:numId w:val="1"/>
      </w:numPr>
      <w:kinsoku/>
      <w:wordWrap/>
      <w:overflowPunct/>
      <w:topLinePunct w:val="0"/>
      <w:autoSpaceDE/>
      <w:autoSpaceDN/>
      <w:bidi w:val="0"/>
      <w:adjustRightInd w:val="0"/>
      <w:snapToGrid w:val="0"/>
      <w:spacing w:line="576" w:lineRule="exact"/>
      <w:ind w:left="0" w:leftChars="0" w:firstLine="643" w:firstLineChars="200"/>
      <w:textAlignment w:val="auto"/>
      <w:outlineLvl w:val="1"/>
    </w:pPr>
    <w:rPr>
      <w:rFonts w:ascii="楷体" w:hAnsi="楷体" w:eastAsia="楷体" w:cs="Times New Roman"/>
      <w:b/>
      <w:bCs/>
      <w:color w:val="auto"/>
      <w:sz w:val="32"/>
      <w:szCs w:val="32"/>
      <w:lang w:val="en-US" w:eastAsia="zh-CN" w:bidi="ar-SA"/>
    </w:rPr>
  </w:style>
  <w:style w:type="paragraph" w:styleId="5">
    <w:name w:val="heading 3"/>
    <w:next w:val="4"/>
    <w:qFormat/>
    <w:uiPriority w:val="0"/>
    <w:pPr>
      <w:keepNext/>
      <w:keepLines/>
      <w:numPr>
        <w:ilvl w:val="2"/>
        <w:numId w:val="1"/>
      </w:numPr>
      <w:tabs>
        <w:tab w:val="left" w:pos="312"/>
      </w:tabs>
      <w:adjustRightInd w:val="0"/>
      <w:snapToGrid w:val="0"/>
      <w:spacing w:line="576" w:lineRule="exact"/>
      <w:ind w:firstLine="40" w:firstLineChars="0"/>
      <w:outlineLvl w:val="2"/>
    </w:pPr>
    <w:rPr>
      <w:rFonts w:ascii="仿宋" w:hAnsi="仿宋" w:eastAsia="仿宋" w:cs="Times New Roman"/>
      <w:color w:val="auto"/>
      <w:sz w:val="32"/>
      <w:szCs w:val="32"/>
      <w:lang w:val="en-US" w:eastAsia="zh-CN" w:bidi="ar-SA"/>
    </w:rPr>
  </w:style>
  <w:style w:type="paragraph" w:styleId="6">
    <w:name w:val="heading 4"/>
    <w:next w:val="4"/>
    <w:link w:val="45"/>
    <w:qFormat/>
    <w:uiPriority w:val="0"/>
    <w:pPr>
      <w:keepNext/>
      <w:keepLines/>
      <w:numPr>
        <w:ilvl w:val="3"/>
        <w:numId w:val="1"/>
      </w:numPr>
      <w:adjustRightInd w:val="0"/>
      <w:snapToGrid w:val="0"/>
      <w:spacing w:line="576" w:lineRule="exact"/>
      <w:ind w:firstLine="40" w:firstLineChars="0"/>
      <w:outlineLvl w:val="3"/>
    </w:pPr>
    <w:rPr>
      <w:rFonts w:ascii="仿宋" w:hAnsi="仿宋" w:eastAsia="仿宋" w:cs="Times New Roman"/>
      <w:color w:val="auto"/>
      <w:sz w:val="32"/>
      <w:szCs w:val="32"/>
      <w:lang w:val="en-US" w:eastAsia="zh-CN" w:bidi="ar-SA"/>
    </w:rPr>
  </w:style>
  <w:style w:type="paragraph" w:styleId="7">
    <w:name w:val="heading 5"/>
    <w:next w:val="4"/>
    <w:qFormat/>
    <w:uiPriority w:val="0"/>
    <w:pPr>
      <w:numPr>
        <w:ilvl w:val="4"/>
        <w:numId w:val="1"/>
      </w:numPr>
      <w:tabs>
        <w:tab w:val="left" w:pos="0"/>
      </w:tabs>
      <w:adjustRightInd w:val="0"/>
      <w:snapToGrid w:val="0"/>
      <w:spacing w:line="576" w:lineRule="exact"/>
      <w:ind w:firstLine="402" w:firstLineChars="0"/>
      <w:outlineLvl w:val="4"/>
    </w:pPr>
    <w:rPr>
      <w:rFonts w:ascii="仿宋" w:hAnsi="仿宋" w:eastAsia="仿宋" w:cs="Times New Roman"/>
      <w:color w:val="auto"/>
      <w:sz w:val="32"/>
      <w:szCs w:val="32"/>
      <w:lang w:val="en-US" w:eastAsia="zh-CN" w:bidi="ar-SA"/>
    </w:rPr>
  </w:style>
  <w:style w:type="paragraph" w:styleId="8">
    <w:name w:val="heading 6"/>
    <w:next w:val="4"/>
    <w:qFormat/>
    <w:uiPriority w:val="0"/>
    <w:pPr>
      <w:numPr>
        <w:ilvl w:val="5"/>
        <w:numId w:val="1"/>
      </w:numPr>
      <w:adjustRightInd w:val="0"/>
      <w:snapToGrid w:val="0"/>
      <w:spacing w:line="576" w:lineRule="exact"/>
      <w:ind w:firstLine="402" w:firstLineChars="0"/>
      <w:outlineLvl w:val="5"/>
    </w:pPr>
    <w:rPr>
      <w:rFonts w:ascii="仿宋" w:hAnsi="仿宋" w:eastAsia="仿宋" w:cs="Times New Roman"/>
      <w:color w:val="auto"/>
      <w:sz w:val="32"/>
      <w:szCs w:val="32"/>
      <w:lang w:val="en-US" w:eastAsia="zh-CN" w:bidi="ar-SA"/>
    </w:rPr>
  </w:style>
  <w:style w:type="paragraph" w:styleId="9">
    <w:name w:val="heading 7"/>
    <w:next w:val="4"/>
    <w:qFormat/>
    <w:uiPriority w:val="0"/>
    <w:pPr>
      <w:numPr>
        <w:ilvl w:val="6"/>
        <w:numId w:val="1"/>
      </w:numPr>
      <w:adjustRightInd w:val="0"/>
      <w:snapToGrid w:val="0"/>
      <w:spacing w:line="576" w:lineRule="exact"/>
      <w:ind w:firstLine="402" w:firstLineChars="0"/>
      <w:outlineLvl w:val="6"/>
    </w:pPr>
    <w:rPr>
      <w:rFonts w:ascii="仿宋" w:hAnsi="仿宋" w:eastAsia="仿宋" w:cs="Times New Roman"/>
      <w:color w:val="auto"/>
      <w:sz w:val="32"/>
      <w:szCs w:val="32"/>
      <w:lang w:val="en-US" w:eastAsia="zh-CN" w:bidi="ar-SA"/>
    </w:rPr>
  </w:style>
  <w:style w:type="paragraph" w:styleId="10">
    <w:name w:val="heading 8"/>
    <w:next w:val="4"/>
    <w:qFormat/>
    <w:uiPriority w:val="0"/>
    <w:pPr>
      <w:numPr>
        <w:ilvl w:val="7"/>
        <w:numId w:val="1"/>
      </w:numPr>
      <w:adjustRightInd w:val="0"/>
      <w:snapToGrid w:val="0"/>
      <w:spacing w:line="576" w:lineRule="exact"/>
      <w:ind w:firstLine="402" w:firstLineChars="0"/>
      <w:outlineLvl w:val="7"/>
    </w:pPr>
    <w:rPr>
      <w:rFonts w:ascii="仿宋" w:hAnsi="仿宋" w:eastAsia="仿宋" w:cs="Times New Roman"/>
      <w:color w:val="auto"/>
      <w:sz w:val="32"/>
      <w:szCs w:val="32"/>
      <w:lang w:val="en-US" w:eastAsia="zh-CN" w:bidi="ar-SA"/>
    </w:rPr>
  </w:style>
  <w:style w:type="paragraph" w:styleId="11">
    <w:name w:val="heading 9"/>
    <w:next w:val="4"/>
    <w:qFormat/>
    <w:uiPriority w:val="0"/>
    <w:pPr>
      <w:numPr>
        <w:ilvl w:val="8"/>
        <w:numId w:val="1"/>
      </w:numPr>
      <w:adjustRightInd w:val="0"/>
      <w:snapToGrid w:val="0"/>
      <w:spacing w:line="576" w:lineRule="exact"/>
      <w:ind w:firstLine="402" w:firstLineChars="0"/>
      <w:outlineLvl w:val="8"/>
    </w:pPr>
    <w:rPr>
      <w:rFonts w:ascii="仿宋" w:hAnsi="仿宋" w:eastAsia="仿宋" w:cs="Times New Roman"/>
      <w:color w:val="auto"/>
      <w:sz w:val="32"/>
      <w:szCs w:val="32"/>
      <w:lang w:val="en-US" w:eastAsia="zh-CN" w:bidi="ar-SA"/>
    </w:rPr>
  </w:style>
  <w:style w:type="character" w:default="1" w:styleId="35">
    <w:name w:val="Default Paragraph Font"/>
    <w:qFormat/>
    <w:uiPriority w:val="1"/>
  </w:style>
  <w:style w:type="table" w:default="1" w:styleId="33">
    <w:name w:val="Normal Table"/>
    <w:qFormat/>
    <w:uiPriority w:val="0"/>
    <w:tblPr>
      <w:tblCellMar>
        <w:top w:w="0" w:type="dxa"/>
        <w:left w:w="108" w:type="dxa"/>
        <w:bottom w:w="0" w:type="dxa"/>
        <w:right w:w="108" w:type="dxa"/>
      </w:tblCellMar>
    </w:tblPr>
  </w:style>
  <w:style w:type="paragraph" w:styleId="4">
    <w:name w:val="Body Text"/>
    <w:link w:val="54"/>
    <w:qFormat/>
    <w:uiPriority w:val="0"/>
    <w:pPr>
      <w:adjustRightInd w:val="0"/>
      <w:snapToGrid w:val="0"/>
      <w:spacing w:line="576" w:lineRule="exact"/>
      <w:ind w:firstLine="630" w:firstLineChars="200"/>
    </w:pPr>
    <w:rPr>
      <w:rFonts w:ascii="仿宋" w:hAnsi="仿宋" w:eastAsia="仿宋" w:cs="Times New Roman"/>
      <w:color w:val="auto"/>
      <w:spacing w:val="-6"/>
      <w:sz w:val="32"/>
      <w:szCs w:val="32"/>
      <w:lang w:val="en-US" w:eastAsia="zh-CN" w:bidi="ar-SA"/>
    </w:rPr>
  </w:style>
  <w:style w:type="paragraph" w:styleId="12">
    <w:name w:val="caption"/>
    <w:basedOn w:val="1"/>
    <w:next w:val="1"/>
    <w:qFormat/>
    <w:uiPriority w:val="0"/>
    <w:pPr>
      <w:ind w:firstLine="0" w:firstLineChars="0"/>
    </w:pPr>
    <w:rPr>
      <w:rFonts w:cs="仿宋"/>
      <w:sz w:val="20"/>
    </w:rPr>
  </w:style>
  <w:style w:type="paragraph" w:styleId="13">
    <w:name w:val="annotation text"/>
    <w:basedOn w:val="1"/>
    <w:qFormat/>
    <w:uiPriority w:val="0"/>
    <w:pPr>
      <w:jc w:val="left"/>
    </w:pPr>
    <w:rPr>
      <w:color w:val="262626"/>
    </w:rPr>
  </w:style>
  <w:style w:type="paragraph" w:styleId="14">
    <w:name w:val="Salutation"/>
    <w:basedOn w:val="1"/>
    <w:next w:val="1"/>
    <w:qFormat/>
    <w:uiPriority w:val="0"/>
    <w:pPr>
      <w:ind w:firstLine="0" w:firstLineChars="0"/>
    </w:pPr>
    <w:rPr>
      <w:color w:val="auto"/>
    </w:rPr>
  </w:style>
  <w:style w:type="paragraph" w:styleId="15">
    <w:name w:val="List Bullet 3"/>
    <w:basedOn w:val="1"/>
    <w:qFormat/>
    <w:uiPriority w:val="0"/>
    <w:pPr>
      <w:numPr>
        <w:ilvl w:val="0"/>
        <w:numId w:val="2"/>
      </w:numPr>
    </w:pPr>
    <w:rPr>
      <w:color w:val="262626"/>
    </w:rPr>
  </w:style>
  <w:style w:type="paragraph" w:styleId="16">
    <w:name w:val="toc 5"/>
    <w:basedOn w:val="1"/>
    <w:next w:val="1"/>
    <w:qFormat/>
    <w:uiPriority w:val="0"/>
    <w:pPr>
      <w:ind w:left="1680" w:leftChars="800"/>
    </w:pPr>
    <w:rPr>
      <w:color w:val="262626"/>
    </w:rPr>
  </w:style>
  <w:style w:type="paragraph" w:styleId="17">
    <w:name w:val="toc 3"/>
    <w:basedOn w:val="1"/>
    <w:next w:val="1"/>
    <w:qFormat/>
    <w:uiPriority w:val="0"/>
    <w:pPr>
      <w:ind w:left="840" w:leftChars="400"/>
    </w:pPr>
    <w:rPr>
      <w:color w:val="262626"/>
    </w:rPr>
  </w:style>
  <w:style w:type="paragraph" w:styleId="18">
    <w:name w:val="Plain Text"/>
    <w:basedOn w:val="1"/>
    <w:qFormat/>
    <w:uiPriority w:val="0"/>
    <w:rPr>
      <w:rFonts w:ascii="宋体" w:hAnsi="Courier New"/>
      <w:snapToGrid w:val="0"/>
      <w:color w:val="262626"/>
      <w:kern w:val="0"/>
      <w:sz w:val="20"/>
      <w:szCs w:val="21"/>
      <w:lang w:val="zh-CN"/>
    </w:rPr>
  </w:style>
  <w:style w:type="paragraph" w:styleId="19">
    <w:name w:val="Date"/>
    <w:basedOn w:val="1"/>
    <w:next w:val="1"/>
    <w:qFormat/>
    <w:uiPriority w:val="0"/>
    <w:pPr>
      <w:ind w:firstLine="0" w:firstLineChars="0"/>
      <w:jc w:val="right"/>
    </w:pPr>
    <w:rPr>
      <w:color w:val="262626"/>
    </w:rPr>
  </w:style>
  <w:style w:type="paragraph" w:styleId="20">
    <w:name w:val="endnote text"/>
    <w:basedOn w:val="1"/>
    <w:qFormat/>
    <w:uiPriority w:val="0"/>
    <w:pPr>
      <w:jc w:val="left"/>
    </w:pPr>
    <w:rPr>
      <w:color w:val="262626"/>
    </w:rPr>
  </w:style>
  <w:style w:type="paragraph" w:styleId="21">
    <w:name w:val="Balloon Text"/>
    <w:basedOn w:val="1"/>
    <w:qFormat/>
    <w:uiPriority w:val="0"/>
    <w:rPr>
      <w:sz w:val="18"/>
      <w:szCs w:val="18"/>
    </w:rPr>
  </w:style>
  <w:style w:type="paragraph" w:styleId="22">
    <w:name w:val="footer"/>
    <w:basedOn w:val="1"/>
    <w:qFormat/>
    <w:uiPriority w:val="0"/>
    <w:pPr>
      <w:tabs>
        <w:tab w:val="center" w:pos="4153"/>
        <w:tab w:val="right" w:pos="8306"/>
      </w:tabs>
      <w:ind w:firstLine="0" w:firstLineChars="0"/>
      <w:jc w:val="left"/>
    </w:pPr>
    <w:rPr>
      <w:sz w:val="18"/>
      <w:szCs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pPr>
    <w:rPr>
      <w:sz w:val="18"/>
      <w:szCs w:val="18"/>
    </w:rPr>
  </w:style>
  <w:style w:type="paragraph" w:styleId="24">
    <w:name w:val="Signature"/>
    <w:basedOn w:val="1"/>
    <w:qFormat/>
    <w:uiPriority w:val="0"/>
    <w:pPr>
      <w:ind w:firstLine="0" w:firstLineChars="0"/>
      <w:jc w:val="right"/>
    </w:pPr>
    <w:rPr>
      <w:color w:val="262626"/>
    </w:rPr>
  </w:style>
  <w:style w:type="paragraph" w:styleId="25">
    <w:name w:val="toc 1"/>
    <w:basedOn w:val="1"/>
    <w:next w:val="1"/>
    <w:qFormat/>
    <w:uiPriority w:val="0"/>
    <w:rPr>
      <w:color w:val="262626"/>
    </w:rPr>
  </w:style>
  <w:style w:type="paragraph" w:styleId="26">
    <w:name w:val="toc 4"/>
    <w:basedOn w:val="1"/>
    <w:next w:val="1"/>
    <w:qFormat/>
    <w:uiPriority w:val="0"/>
    <w:pPr>
      <w:ind w:left="1260" w:leftChars="600"/>
    </w:pPr>
    <w:rPr>
      <w:color w:val="262626"/>
    </w:rPr>
  </w:style>
  <w:style w:type="paragraph" w:styleId="27">
    <w:name w:val="Subtitle"/>
    <w:next w:val="4"/>
    <w:link w:val="47"/>
    <w:qFormat/>
    <w:uiPriority w:val="0"/>
    <w:pPr>
      <w:adjustRightInd w:val="0"/>
      <w:snapToGrid w:val="0"/>
      <w:spacing w:line="720" w:lineRule="exact"/>
      <w:jc w:val="center"/>
      <w:outlineLvl w:val="1"/>
    </w:pPr>
    <w:rPr>
      <w:rFonts w:ascii="黑体" w:hAnsi="黑体" w:eastAsia="黑体" w:cs="Times New Roman"/>
      <w:color w:val="auto"/>
      <w:kern w:val="28"/>
      <w:sz w:val="36"/>
      <w:szCs w:val="36"/>
      <w:lang w:val="en-US" w:eastAsia="zh-CN" w:bidi="ar-SA"/>
    </w:rPr>
  </w:style>
  <w:style w:type="paragraph" w:styleId="28">
    <w:name w:val="footnote text"/>
    <w:basedOn w:val="1"/>
    <w:qFormat/>
    <w:uiPriority w:val="0"/>
    <w:pPr>
      <w:jc w:val="left"/>
    </w:pPr>
    <w:rPr>
      <w:sz w:val="18"/>
      <w:szCs w:val="18"/>
    </w:rPr>
  </w:style>
  <w:style w:type="paragraph" w:styleId="29">
    <w:name w:val="toc 2"/>
    <w:basedOn w:val="1"/>
    <w:next w:val="1"/>
    <w:qFormat/>
    <w:uiPriority w:val="0"/>
    <w:pPr>
      <w:ind w:left="420" w:leftChars="200"/>
    </w:pPr>
    <w:rPr>
      <w:color w:val="262626"/>
    </w:rPr>
  </w:style>
  <w:style w:type="paragraph" w:styleId="30">
    <w:name w:val="Normal (Web)"/>
    <w:basedOn w:val="1"/>
    <w:qFormat/>
    <w:uiPriority w:val="0"/>
    <w:rPr>
      <w:sz w:val="24"/>
      <w:szCs w:val="24"/>
    </w:rPr>
  </w:style>
  <w:style w:type="paragraph" w:styleId="31">
    <w:name w:val="Title"/>
    <w:link w:val="55"/>
    <w:qFormat/>
    <w:uiPriority w:val="0"/>
    <w:pPr>
      <w:adjustRightInd w:val="0"/>
      <w:snapToGrid w:val="0"/>
      <w:spacing w:after="296" w:line="720" w:lineRule="exact"/>
      <w:jc w:val="center"/>
      <w:outlineLvl w:val="0"/>
    </w:pPr>
    <w:rPr>
      <w:rFonts w:ascii="方正小标宋简体" w:hAnsi="方正小标宋简体" w:eastAsia="方正小标宋简体" w:cs="Times New Roman"/>
      <w:color w:val="262626"/>
      <w:sz w:val="44"/>
      <w:szCs w:val="44"/>
      <w:lang w:val="en-US" w:eastAsia="zh-CN" w:bidi="ar-SA"/>
    </w:rPr>
  </w:style>
  <w:style w:type="paragraph" w:styleId="32">
    <w:name w:val="annotation subject"/>
    <w:basedOn w:val="13"/>
    <w:next w:val="13"/>
    <w:qFormat/>
    <w:uiPriority w:val="0"/>
    <w:rPr>
      <w:b/>
      <w:color w:val="262626"/>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rFonts w:ascii="仿宋" w:hAnsi="仿宋" w:eastAsia="仿宋" w:cs="Times New Roman"/>
      <w:b/>
      <w:bCs/>
      <w:color w:val="262626"/>
      <w:spacing w:val="-6"/>
      <w:kern w:val="2"/>
      <w:sz w:val="32"/>
      <w:szCs w:val="32"/>
      <w:u w:val="single"/>
      <w:lang w:val="en-US" w:eastAsia="zh-CN" w:bidi="ar-SA"/>
    </w:rPr>
  </w:style>
  <w:style w:type="character" w:styleId="37">
    <w:name w:val="endnote reference"/>
    <w:basedOn w:val="35"/>
    <w:qFormat/>
    <w:uiPriority w:val="0"/>
    <w:rPr>
      <w:rFonts w:ascii="仿宋" w:hAnsi="仿宋" w:eastAsia="仿宋"/>
      <w:color w:val="262626"/>
      <w:vertAlign w:val="superscript"/>
    </w:rPr>
  </w:style>
  <w:style w:type="character" w:styleId="38">
    <w:name w:val="page number"/>
    <w:qFormat/>
    <w:uiPriority w:val="0"/>
    <w:rPr>
      <w:rFonts w:ascii="宋体" w:hAnsi="宋体" w:eastAsia="宋体" w:cs="Times New Roman"/>
      <w:color w:val="262626"/>
      <w:spacing w:val="-6"/>
      <w:kern w:val="2"/>
      <w:sz w:val="28"/>
      <w:szCs w:val="28"/>
      <w:lang w:val="en-US" w:eastAsia="zh-CN" w:bidi="ar-SA"/>
    </w:rPr>
  </w:style>
  <w:style w:type="character" w:styleId="39">
    <w:name w:val="FollowedHyperlink"/>
    <w:basedOn w:val="35"/>
    <w:qFormat/>
    <w:uiPriority w:val="0"/>
    <w:rPr>
      <w:rFonts w:ascii="仿宋" w:hAnsi="仿宋" w:eastAsia="仿宋" w:cs="Times New Roman"/>
      <w:color w:val="800080"/>
      <w:spacing w:val="-6"/>
      <w:kern w:val="2"/>
      <w:sz w:val="32"/>
      <w:szCs w:val="32"/>
      <w:u w:val="single"/>
      <w:lang w:val="en-US" w:eastAsia="zh-CN" w:bidi="ar-SA"/>
    </w:rPr>
  </w:style>
  <w:style w:type="character" w:styleId="40">
    <w:name w:val="Emphasis"/>
    <w:qFormat/>
    <w:uiPriority w:val="0"/>
    <w:rPr>
      <w:rFonts w:ascii="仿宋" w:hAnsi="仿宋" w:eastAsia="仿宋" w:cs="Times New Roman"/>
      <w:b/>
      <w:bCs/>
      <w:color w:val="262626"/>
      <w:spacing w:val="-6"/>
      <w:kern w:val="2"/>
      <w:sz w:val="32"/>
      <w:szCs w:val="32"/>
      <w:lang w:val="en-US" w:eastAsia="zh-CN" w:bidi="ar-SA"/>
    </w:rPr>
  </w:style>
  <w:style w:type="character" w:styleId="41">
    <w:name w:val="Hyperlink"/>
    <w:basedOn w:val="35"/>
    <w:qFormat/>
    <w:uiPriority w:val="0"/>
    <w:rPr>
      <w:rFonts w:ascii="仿宋" w:hAnsi="仿宋" w:eastAsia="仿宋" w:cs="Times New Roman"/>
      <w:caps/>
      <w:color w:val="0000FF"/>
      <w:spacing w:val="-6"/>
      <w:kern w:val="2"/>
      <w:sz w:val="32"/>
      <w:szCs w:val="32"/>
      <w:u w:val="single"/>
      <w:lang w:val="en-US" w:eastAsia="zh-CN" w:bidi="ar-SA"/>
    </w:rPr>
  </w:style>
  <w:style w:type="character" w:styleId="42">
    <w:name w:val="annotation reference"/>
    <w:basedOn w:val="35"/>
    <w:qFormat/>
    <w:uiPriority w:val="0"/>
    <w:rPr>
      <w:rFonts w:ascii="仿宋" w:hAnsi="仿宋" w:eastAsia="仿宋"/>
      <w:color w:val="262626"/>
      <w:sz w:val="21"/>
      <w:szCs w:val="21"/>
    </w:rPr>
  </w:style>
  <w:style w:type="character" w:styleId="43">
    <w:name w:val="footnote reference"/>
    <w:basedOn w:val="35"/>
    <w:qFormat/>
    <w:uiPriority w:val="0"/>
    <w:rPr>
      <w:rFonts w:ascii="仿宋" w:hAnsi="仿宋" w:eastAsia="仿宋"/>
      <w:color w:val="262626"/>
      <w:vertAlign w:val="superscript"/>
    </w:rPr>
  </w:style>
  <w:style w:type="paragraph" w:customStyle="1" w:styleId="44">
    <w:name w:val="目录标题"/>
    <w:qFormat/>
    <w:uiPriority w:val="0"/>
    <w:pPr>
      <w:adjustRightInd w:val="0"/>
      <w:jc w:val="center"/>
      <w:textAlignment w:val="center"/>
    </w:pPr>
    <w:rPr>
      <w:rFonts w:ascii="黑体" w:hAnsi="黑体" w:eastAsia="黑体" w:cs="Times New Roman"/>
      <w:color w:val="auto"/>
      <w:sz w:val="32"/>
      <w:szCs w:val="32"/>
      <w:lang w:val="en-US" w:eastAsia="zh-CN" w:bidi="ar-SA"/>
    </w:rPr>
  </w:style>
  <w:style w:type="character" w:customStyle="1" w:styleId="45">
    <w:name w:val="标题 4 字符"/>
    <w:link w:val="6"/>
    <w:qFormat/>
    <w:uiPriority w:val="9"/>
    <w:rPr>
      <w:rFonts w:ascii="仿宋" w:hAnsi="仿宋" w:eastAsia="仿宋" w:cs="Times New Roman"/>
      <w:color w:val="auto"/>
      <w:sz w:val="32"/>
      <w:szCs w:val="32"/>
      <w:lang w:val="en-US" w:eastAsia="zh-CN" w:bidi="ar-SA"/>
    </w:rPr>
  </w:style>
  <w:style w:type="paragraph" w:customStyle="1" w:styleId="46">
    <w:name w:val="章标题"/>
    <w:basedOn w:val="1"/>
    <w:next w:val="1"/>
    <w:qFormat/>
    <w:uiPriority w:val="0"/>
    <w:pPr>
      <w:spacing w:line="720" w:lineRule="exact"/>
      <w:ind w:firstLine="0" w:firstLineChars="0"/>
      <w:jc w:val="center"/>
      <w:outlineLvl w:val="0"/>
    </w:pPr>
    <w:rPr>
      <w:rFonts w:hint="eastAsia" w:ascii="黑体" w:hAnsi="黑体" w:eastAsia="黑体"/>
      <w:kern w:val="44"/>
      <w:sz w:val="36"/>
      <w:szCs w:val="36"/>
    </w:rPr>
  </w:style>
  <w:style w:type="character" w:customStyle="1" w:styleId="47">
    <w:name w:val="副标题 字符"/>
    <w:link w:val="27"/>
    <w:qFormat/>
    <w:uiPriority w:val="0"/>
    <w:rPr>
      <w:rFonts w:ascii="黑体" w:hAnsi="黑体" w:eastAsia="黑体" w:cs="Times New Roman"/>
      <w:color w:val="auto"/>
      <w:kern w:val="28"/>
      <w:sz w:val="36"/>
      <w:szCs w:val="36"/>
      <w:lang w:val="en-US" w:eastAsia="zh-CN" w:bidi="ar-SA"/>
    </w:rPr>
  </w:style>
  <w:style w:type="paragraph" w:customStyle="1" w:styleId="48">
    <w:name w:val="题注1"/>
    <w:basedOn w:val="1"/>
    <w:qFormat/>
    <w:uiPriority w:val="0"/>
    <w:pPr>
      <w:ind w:firstLine="0" w:firstLineChars="0"/>
    </w:pPr>
    <w:rPr>
      <w:rFonts w:hint="eastAsia"/>
      <w:sz w:val="20"/>
      <w:szCs w:val="20"/>
    </w:rPr>
  </w:style>
  <w:style w:type="paragraph" w:customStyle="1" w:styleId="49">
    <w:name w:val="文档说明标题"/>
    <w:next w:val="1"/>
    <w:qFormat/>
    <w:uiPriority w:val="0"/>
    <w:pPr>
      <w:keepNext/>
      <w:keepLines/>
      <w:tabs>
        <w:tab w:val="left" w:pos="0"/>
      </w:tabs>
      <w:adjustRightInd w:val="0"/>
      <w:snapToGrid w:val="0"/>
      <w:spacing w:line="720" w:lineRule="exact"/>
      <w:jc w:val="center"/>
      <w:outlineLvl w:val="0"/>
    </w:pPr>
    <w:rPr>
      <w:rFonts w:ascii="黑体" w:hAnsi="黑体" w:eastAsia="黑体" w:cs="宋体"/>
      <w:color w:val="auto"/>
      <w:kern w:val="44"/>
      <w:sz w:val="36"/>
      <w:szCs w:val="36"/>
      <w:lang w:val="en-US" w:eastAsia="zh-CN" w:bidi="ar-SA"/>
    </w:rPr>
  </w:style>
  <w:style w:type="paragraph" w:customStyle="1" w:styleId="50">
    <w:name w:val="节标题"/>
    <w:next w:val="1"/>
    <w:qFormat/>
    <w:uiPriority w:val="0"/>
    <w:pPr>
      <w:tabs>
        <w:tab w:val="left" w:pos="0"/>
      </w:tabs>
      <w:adjustRightInd w:val="0"/>
      <w:snapToGrid w:val="0"/>
      <w:spacing w:line="720" w:lineRule="exact"/>
      <w:jc w:val="center"/>
    </w:pPr>
    <w:rPr>
      <w:rFonts w:ascii="黑体" w:hAnsi="黑体" w:eastAsia="黑体" w:cs="宋体"/>
      <w:color w:val="auto"/>
      <w:sz w:val="32"/>
      <w:szCs w:val="32"/>
      <w:lang w:val="en-US" w:eastAsia="zh-CN" w:bidi="ar-SA"/>
    </w:rPr>
  </w:style>
  <w:style w:type="paragraph" w:customStyle="1" w:styleId="51">
    <w:name w:val="附录标题"/>
    <w:next w:val="4"/>
    <w:qFormat/>
    <w:uiPriority w:val="0"/>
    <w:pPr>
      <w:overflowPunct w:val="0"/>
      <w:topLinePunct/>
      <w:adjustRightInd w:val="0"/>
      <w:snapToGrid w:val="0"/>
      <w:spacing w:line="720" w:lineRule="exact"/>
      <w:jc w:val="center"/>
    </w:pPr>
    <w:rPr>
      <w:rFonts w:hint="eastAsia" w:ascii="黑体" w:hAnsi="黑体" w:eastAsia="黑体" w:cs="Times New Roman"/>
      <w:color w:val="auto"/>
      <w:sz w:val="36"/>
      <w:szCs w:val="36"/>
      <w:lang w:val="en-US" w:eastAsia="zh-CN" w:bidi="ar-SA"/>
    </w:rPr>
  </w:style>
  <w:style w:type="character" w:customStyle="1" w:styleId="52">
    <w:name w:val="参考文献条目"/>
    <w:basedOn w:val="35"/>
    <w:qFormat/>
    <w:uiPriority w:val="0"/>
    <w:rPr>
      <w:rFonts w:ascii="黑体" w:hAnsi="黑体" w:eastAsia="黑体" w:cs="Times New Roman"/>
      <w:color w:val="262626"/>
      <w:sz w:val="30"/>
      <w:szCs w:val="30"/>
      <w:lang w:val="en-US" w:eastAsia="zh-CN"/>
    </w:rPr>
  </w:style>
  <w:style w:type="character" w:customStyle="1" w:styleId="53">
    <w:name w:val="着重标题"/>
    <w:basedOn w:val="35"/>
    <w:qFormat/>
    <w:uiPriority w:val="0"/>
    <w:rPr>
      <w:rFonts w:ascii="黑体" w:hAnsi="黑体" w:eastAsia="黑体" w:cs="Times New Roman"/>
      <w:color w:val="262626"/>
      <w:sz w:val="30"/>
      <w:szCs w:val="30"/>
      <w:lang w:val="en-US" w:eastAsia="zh-CN"/>
    </w:rPr>
  </w:style>
  <w:style w:type="character" w:customStyle="1" w:styleId="54">
    <w:name w:val="正文文本 字符"/>
    <w:link w:val="4"/>
    <w:qFormat/>
    <w:uiPriority w:val="0"/>
    <w:rPr>
      <w:rFonts w:ascii="仿宋" w:hAnsi="仿宋" w:eastAsia="仿宋" w:cs="Times New Roman"/>
      <w:color w:val="auto"/>
      <w:spacing w:val="-6"/>
      <w:sz w:val="32"/>
      <w:szCs w:val="32"/>
      <w:lang w:val="en-US" w:eastAsia="zh-CN" w:bidi="ar-SA"/>
    </w:rPr>
  </w:style>
  <w:style w:type="character" w:customStyle="1" w:styleId="55">
    <w:name w:val="标题 字符"/>
    <w:link w:val="31"/>
    <w:qFormat/>
    <w:uiPriority w:val="0"/>
    <w:rPr>
      <w:rFonts w:ascii="方正小标宋简体" w:hAnsi="方正小标宋简体" w:eastAsia="方正小标宋简体" w:cs="Times New Roman"/>
      <w:color w:val="262626"/>
      <w:sz w:val="44"/>
      <w:szCs w:val="44"/>
      <w:lang w:val="en-US" w:eastAsia="zh-CN" w:bidi="ar-SA"/>
    </w:rPr>
  </w:style>
  <w:style w:type="paragraph" w:customStyle="1" w:styleId="56">
    <w:name w:val="主送对象"/>
    <w:next w:val="4"/>
    <w:qFormat/>
    <w:uiPriority w:val="0"/>
    <w:pPr>
      <w:adjustRightInd w:val="0"/>
      <w:snapToGrid w:val="0"/>
      <w:spacing w:line="576" w:lineRule="exact"/>
    </w:pPr>
    <w:rPr>
      <w:rFonts w:hint="eastAsia" w:ascii="仿宋" w:hAnsi="仿宋" w:eastAsia="仿宋" w:cs="Times New Roman"/>
      <w:color w:val="auto"/>
      <w:sz w:val="32"/>
      <w:szCs w:val="32"/>
      <w:lang w:val="en-US" w:eastAsia="zh-CN" w:bidi="ar-SA"/>
    </w:rPr>
  </w:style>
  <w:style w:type="paragraph" w:customStyle="1" w:styleId="57">
    <w:name w:val="表格标题"/>
    <w:next w:val="1"/>
    <w:qFormat/>
    <w:uiPriority w:val="0"/>
    <w:pPr>
      <w:overflowPunct w:val="0"/>
      <w:topLinePunct/>
      <w:bidi w:val="0"/>
      <w:jc w:val="center"/>
    </w:pPr>
    <w:rPr>
      <w:rFonts w:ascii="仿宋" w:hAnsi="仿宋" w:eastAsia="仿宋" w:cs="Times New Roman"/>
      <w:color w:val="262626"/>
      <w:spacing w:val="-6"/>
      <w:sz w:val="28"/>
      <w:szCs w:val="28"/>
      <w:lang w:val="en-US" w:eastAsia="zh-CN" w:bidi="ar-SA"/>
    </w:rPr>
  </w:style>
  <w:style w:type="character" w:customStyle="1" w:styleId="58">
    <w:name w:val="摘要"/>
    <w:basedOn w:val="35"/>
    <w:qFormat/>
    <w:uiPriority w:val="0"/>
    <w:rPr>
      <w:rFonts w:hint="eastAsia" w:ascii="黑体" w:hAnsi="黑体" w:eastAsia="黑体"/>
      <w:color w:val="262626"/>
      <w:sz w:val="30"/>
      <w:szCs w:val="30"/>
      <w:lang w:val="en-US" w:eastAsia="zh-CN"/>
    </w:rPr>
  </w:style>
  <w:style w:type="character" w:customStyle="1" w:styleId="59">
    <w:name w:val="关键词"/>
    <w:basedOn w:val="35"/>
    <w:qFormat/>
    <w:uiPriority w:val="0"/>
    <w:rPr>
      <w:rFonts w:hint="eastAsia" w:ascii="黑体" w:hAnsi="黑体" w:eastAsia="黑体"/>
      <w:color w:val="262626"/>
      <w:sz w:val="30"/>
      <w:szCs w:val="30"/>
    </w:rPr>
  </w:style>
  <w:style w:type="character" w:customStyle="1" w:styleId="60">
    <w:name w:val="标题 2 Char"/>
    <w:link w:val="3"/>
    <w:qFormat/>
    <w:uiPriority w:val="0"/>
    <w:rPr>
      <w:rFonts w:ascii="楷体" w:hAnsi="楷体" w:eastAsia="楷体" w:cs="Times New Roman"/>
      <w:b/>
      <w:bCs/>
      <w:color w:val="auto"/>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66818e-2586-4be4-90fb-59d807b5f2e5}">
  <ds:schemaRefs/>
</ds:datastoreItem>
</file>

<file path=docProps/app.xml><?xml version="1.0" encoding="utf-8"?>
<Properties xmlns="http://schemas.openxmlformats.org/officeDocument/2006/extended-properties" xmlns:vt="http://schemas.openxmlformats.org/officeDocument/2006/docPropsVTypes">
  <Pages>9</Pages>
  <Words>3262</Words>
  <Characters>3290</Characters>
  <Paragraphs>55</Paragraphs>
  <TotalTime>9</TotalTime>
  <ScaleCrop>false</ScaleCrop>
  <LinksUpToDate>false</LinksUpToDate>
  <CharactersWithSpaces>3294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2026-03-11T02:02:00Z</dcterms:created>
  <dc:creator>Kirk</dc:creator>
  <cp:lastModifiedBy>Kirk 响</cp:lastModifiedBy>
  <dcterms:modified xsi:type="dcterms:W3CDTF">2026-04-17T03:09:19Z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493D499F56FF4A08B66D4DDCE43D68FC_13</vt:lpwstr>
  </property>
  <property fmtid="{D5CDD505-2E9C-101B-9397-08002B2CF9AE}" pid="4" name="KSOTemplateDocerSaveRecord">
    <vt:lpwstr>eyJoZGlkIjoiMzhhYjIyMzc2ZDdkZmI1NGU3YWYwNGRjM2I0ZGM4NDgiLCJ1c2VySWQiOiIyNjc4NjgxMyJ9</vt:lpwstr>
  </property>
</Properties>
</file>