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54" w:rsidRPr="00646A2D" w:rsidRDefault="00760654" w:rsidP="00760654">
      <w:pPr>
        <w:widowControl/>
        <w:adjustRightInd w:val="0"/>
        <w:snapToGrid w:val="0"/>
        <w:spacing w:line="400" w:lineRule="exact"/>
        <w:jc w:val="center"/>
        <w:rPr>
          <w:rFonts w:ascii="黑体" w:eastAsia="黑体" w:hAnsi="黑体" w:cs="宋体"/>
          <w:kern w:val="0"/>
          <w:sz w:val="32"/>
          <w:szCs w:val="32"/>
        </w:rPr>
      </w:pPr>
      <w:r w:rsidRPr="00646A2D">
        <w:rPr>
          <w:rFonts w:ascii="黑体" w:eastAsia="黑体" w:hAnsi="黑体" w:cs="宋体"/>
          <w:kern w:val="0"/>
          <w:sz w:val="32"/>
          <w:szCs w:val="32"/>
        </w:rPr>
        <w:t>同济大学建筑与城市规划学院</w:t>
      </w:r>
    </w:p>
    <w:p w:rsidR="00760654" w:rsidRPr="00646A2D" w:rsidRDefault="00760654" w:rsidP="00760654">
      <w:pPr>
        <w:widowControl/>
        <w:adjustRightInd w:val="0"/>
        <w:snapToGrid w:val="0"/>
        <w:spacing w:line="400" w:lineRule="exact"/>
        <w:jc w:val="center"/>
        <w:rPr>
          <w:rFonts w:ascii="黑体" w:eastAsia="黑体" w:hAnsi="黑体" w:cs="宋体"/>
          <w:kern w:val="0"/>
          <w:sz w:val="32"/>
          <w:szCs w:val="32"/>
        </w:rPr>
      </w:pPr>
      <w:r w:rsidRPr="00646A2D">
        <w:rPr>
          <w:rFonts w:ascii="黑体" w:eastAsia="黑体" w:hAnsi="黑体" w:cs="宋体"/>
          <w:kern w:val="0"/>
          <w:sz w:val="32"/>
          <w:szCs w:val="32"/>
        </w:rPr>
        <w:t>推荐免试硕士研究生实施细则</w:t>
      </w:r>
    </w:p>
    <w:p w:rsidR="00760654" w:rsidRPr="00367D43" w:rsidRDefault="00367D43" w:rsidP="00367D43">
      <w:pPr>
        <w:widowControl/>
        <w:adjustRightInd w:val="0"/>
        <w:snapToGrid w:val="0"/>
        <w:spacing w:line="360" w:lineRule="exact"/>
        <w:ind w:firstLine="480"/>
        <w:jc w:val="center"/>
        <w:rPr>
          <w:rFonts w:ascii="宋体" w:eastAsia="宋体" w:hAnsi="宋体" w:cs="宋体"/>
          <w:b/>
          <w:bCs/>
          <w:kern w:val="0"/>
          <w:sz w:val="24"/>
          <w:szCs w:val="24"/>
        </w:rPr>
      </w:pPr>
      <w:r w:rsidRPr="00367D43">
        <w:rPr>
          <w:rFonts w:ascii="宋体" w:eastAsia="宋体" w:hAnsi="宋体" w:cs="宋体" w:hint="eastAsia"/>
          <w:b/>
          <w:bCs/>
          <w:kern w:val="0"/>
          <w:sz w:val="24"/>
          <w:szCs w:val="24"/>
        </w:rPr>
        <w:t>（2</w:t>
      </w:r>
      <w:r w:rsidRPr="00367D43">
        <w:rPr>
          <w:rFonts w:ascii="宋体" w:eastAsia="宋体" w:hAnsi="宋体" w:cs="宋体"/>
          <w:b/>
          <w:bCs/>
          <w:kern w:val="0"/>
          <w:sz w:val="24"/>
          <w:szCs w:val="24"/>
        </w:rPr>
        <w:t>018</w:t>
      </w:r>
      <w:r w:rsidRPr="00367D43">
        <w:rPr>
          <w:rFonts w:ascii="宋体" w:eastAsia="宋体" w:hAnsi="宋体" w:cs="宋体" w:hint="eastAsia"/>
          <w:b/>
          <w:bCs/>
          <w:kern w:val="0"/>
          <w:sz w:val="24"/>
          <w:szCs w:val="24"/>
        </w:rPr>
        <w:t>年细则）</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为做好选拔、推荐优秀应届本科毕业生免试为硕士研究生工作，根据教育部有关的文件精神及学校相关政策，结合我院实际情况，特制定如下细则：</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b/>
          <w:bCs/>
          <w:kern w:val="0"/>
          <w:sz w:val="24"/>
          <w:szCs w:val="24"/>
        </w:rPr>
        <w:t>一、推荐免试生人数比例：</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推荐免试生人数、比例根据当年学校下放名额具体制定。</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b/>
          <w:bCs/>
          <w:kern w:val="0"/>
          <w:sz w:val="24"/>
          <w:szCs w:val="24"/>
        </w:rPr>
        <w:t>二、推荐免试生的条件：</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1、坚持四项基本原则，品德良好，遵纪守法，决心为社会主义现代化建设服务；</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2、学习成绩优良，业务基础扎实，所学的课程平均绩点在3.5（含3.5）以上（申请外校可放宽至我院综合排序分数80分及以上）。</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b/>
          <w:bCs/>
          <w:kern w:val="0"/>
          <w:sz w:val="24"/>
          <w:szCs w:val="24"/>
        </w:rPr>
        <w:t>3、专业课程平均分80分以上（含80分），专业课程成绩排名在本专业学生数的50%以内；</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4、身体健康；</w:t>
      </w:r>
    </w:p>
    <w:p w:rsidR="00760654" w:rsidRPr="00632C6F"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32C6F">
        <w:rPr>
          <w:rFonts w:ascii="宋体" w:eastAsia="宋体" w:hAnsi="宋体" w:cs="宋体"/>
          <w:kern w:val="0"/>
          <w:sz w:val="24"/>
          <w:szCs w:val="24"/>
        </w:rPr>
        <w:t>5、根据学校相关政策，大学期间</w:t>
      </w:r>
      <w:r w:rsidR="00A12AEE" w:rsidRPr="00632C6F">
        <w:rPr>
          <w:rFonts w:ascii="宋体" w:eastAsia="宋体" w:hAnsi="宋体" w:cs="宋体"/>
          <w:kern w:val="0"/>
          <w:sz w:val="24"/>
          <w:szCs w:val="24"/>
        </w:rPr>
        <w:t>必修课程成绩不能出现不及格</w:t>
      </w:r>
      <w:r w:rsidR="00A12AEE" w:rsidRPr="00632C6F">
        <w:rPr>
          <w:rFonts w:ascii="宋体" w:eastAsia="宋体" w:hAnsi="宋体" w:cs="宋体" w:hint="eastAsia"/>
          <w:kern w:val="0"/>
          <w:sz w:val="24"/>
          <w:szCs w:val="24"/>
        </w:rPr>
        <w:t>记录</w:t>
      </w:r>
      <w:r w:rsidRPr="00632C6F">
        <w:rPr>
          <w:rFonts w:ascii="宋体" w:eastAsia="宋体" w:hAnsi="宋体" w:cs="宋体"/>
          <w:kern w:val="0"/>
          <w:sz w:val="24"/>
          <w:szCs w:val="24"/>
        </w:rPr>
        <w:t>；</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32C6F">
        <w:rPr>
          <w:rFonts w:ascii="宋体" w:eastAsia="宋体" w:hAnsi="宋体" w:cs="宋体"/>
          <w:kern w:val="0"/>
          <w:sz w:val="24"/>
          <w:szCs w:val="24"/>
        </w:rPr>
        <w:t>6、在申请免试生事宜之前必须通过英语四级（满分的60%）；</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b/>
          <w:bCs/>
          <w:kern w:val="0"/>
          <w:sz w:val="24"/>
          <w:szCs w:val="24"/>
        </w:rPr>
        <w:t>三、推荐程序：</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1、申请推荐为免试直升的学生本人应按以下要求将相应资料装入档案袋内交到学生工作办公室B219：</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（1）档案袋封面右上角贴照片（1寸或2寸），左上角写明姓名、学号、年级、专业、联系方式（固定电话及手机）；</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（2）学生本人所写申请书（打印稿，无统一格式，右上角贴照片一张，内容写明申报的学校、学院及专业）；</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（3）《同济大学推荐免试攻读硕士学位研究生申请表》和个人陈述各一式两份；</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（4）英语四六级证书原件及复印件；</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（5）获奖证书原件及复印件；</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（6）在本专业权威刊物发表的论文或刊登的作品及证明材料；</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（7）成绩单由学工办联系教务处集中打印，申请者不需上交；</w:t>
      </w:r>
    </w:p>
    <w:p w:rsidR="00760654" w:rsidRPr="00646A2D"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646A2D">
        <w:rPr>
          <w:rFonts w:ascii="宋体" w:eastAsia="宋体" w:hAnsi="宋体" w:cs="宋体"/>
          <w:kern w:val="0"/>
          <w:sz w:val="24"/>
          <w:szCs w:val="24"/>
        </w:rPr>
        <w:t>（8）档案袋封面目录栏逐一注明上述资料。</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2、要求提供两位具有副高级职称或以上的专业教师的推荐书。</w:t>
      </w:r>
      <w:r w:rsidRPr="00646A2D">
        <w:rPr>
          <w:rFonts w:ascii="宋体" w:eastAsia="宋体" w:hAnsi="宋体" w:cs="宋体"/>
          <w:b/>
          <w:bCs/>
          <w:kern w:val="0"/>
          <w:sz w:val="24"/>
          <w:szCs w:val="24"/>
        </w:rPr>
        <w:t>（申请本院免试生的学生，在取得免试机会后再上交；申请外校免试生的学生，按拟申请学校的具体要求提供材料。）</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3、学院推荐免试研究生评审委员会统计申报者综合成绩、论文发表及各类获奖情况。</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（1）各系确定专业课程，以及竞赛获奖和论文发表的加分情况；</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（2）教务科提供成绩数据库以及四六级英语考试通过情况；</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lastRenderedPageBreak/>
        <w:t>（3）学工办提供获得校级以上三好、优干学生名单的加分情况。</w:t>
      </w:r>
    </w:p>
    <w:p w:rsidR="00760654" w:rsidRPr="00632C6F"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4、学院推荐免试研究生评审委员会按照实际综合成绩与奖励加分相结合（简单相加）进行综合排序</w:t>
      </w:r>
      <w:r w:rsidRPr="00632C6F">
        <w:rPr>
          <w:rFonts w:ascii="宋体" w:eastAsia="宋体" w:hAnsi="宋体" w:cs="宋体"/>
          <w:kern w:val="0"/>
          <w:sz w:val="24"/>
          <w:szCs w:val="24"/>
        </w:rPr>
        <w:t>，初试评审小组审核本校推荐复试名单及保送外校名单，学院公示。</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32C6F">
        <w:rPr>
          <w:rFonts w:ascii="宋体" w:eastAsia="宋体" w:hAnsi="宋体" w:cs="宋体"/>
          <w:kern w:val="0"/>
          <w:sz w:val="24"/>
          <w:szCs w:val="24"/>
        </w:rPr>
        <w:t>（1）实际综合成绩按照学生实际单科成绩与调整后的必修课程的学分（调整学分经各系分管教学的系主任批复）的乘积之和除以总学分计算得出；</w:t>
      </w:r>
      <w:r w:rsidR="00C017DB" w:rsidRPr="00632C6F">
        <w:rPr>
          <w:rFonts w:ascii="宋体" w:eastAsia="宋体" w:hAnsi="宋体" w:cs="宋体" w:hint="eastAsia"/>
          <w:kern w:val="0"/>
          <w:sz w:val="24"/>
          <w:szCs w:val="24"/>
        </w:rPr>
        <w:t>（对于</w:t>
      </w:r>
      <w:r w:rsidR="00C017DB" w:rsidRPr="00632C6F">
        <w:rPr>
          <w:rFonts w:ascii="宋体" w:eastAsia="宋体" w:hAnsi="宋体" w:cs="宋体"/>
          <w:kern w:val="0"/>
          <w:sz w:val="24"/>
          <w:szCs w:val="24"/>
        </w:rPr>
        <w:t>同一门课程出现多个成绩记录，</w:t>
      </w:r>
      <w:r w:rsidR="00C017DB" w:rsidRPr="00632C6F">
        <w:rPr>
          <w:rFonts w:ascii="宋体" w:eastAsia="宋体" w:hAnsi="宋体" w:cs="宋体" w:hint="eastAsia"/>
          <w:kern w:val="0"/>
          <w:sz w:val="24"/>
          <w:szCs w:val="24"/>
        </w:rPr>
        <w:t>取</w:t>
      </w:r>
      <w:r w:rsidR="00C017DB" w:rsidRPr="00632C6F">
        <w:rPr>
          <w:rFonts w:ascii="宋体" w:eastAsia="宋体" w:hAnsi="宋体" w:cs="宋体"/>
          <w:kern w:val="0"/>
          <w:sz w:val="24"/>
          <w:szCs w:val="24"/>
        </w:rPr>
        <w:t>成绩最高的一次记录</w:t>
      </w:r>
      <w:r w:rsidR="00C017DB" w:rsidRPr="00632C6F">
        <w:rPr>
          <w:rFonts w:ascii="宋体" w:eastAsia="宋体" w:hAnsi="宋体" w:cs="宋体" w:hint="eastAsia"/>
          <w:kern w:val="0"/>
          <w:sz w:val="24"/>
          <w:szCs w:val="24"/>
        </w:rPr>
        <w:t>）</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（2）奖励加分的实施（以下四类奖励可累计加分，累计不超过3.0分）</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A、荣获一次学校“三好学生”或“优秀学生干部”称号，奖励加分为0.5分, 荣获两次及以上学校“三好学生”或“优秀学生干部”称号，奖励加分为1.0分,累计不超过1.0分；荣获上海市“三好学生”或“优秀学生干部”称号，奖励加分为2.0分；同时获得上述市级、校级荣誉称号，本类别加分最高不超过2.0分。</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B、各类</w:t>
      </w:r>
      <w:r w:rsidR="00C339D8" w:rsidRPr="00646A2D">
        <w:rPr>
          <w:rFonts w:ascii="宋体" w:eastAsia="宋体" w:hAnsi="宋体" w:cs="宋体" w:hint="eastAsia"/>
          <w:kern w:val="0"/>
          <w:sz w:val="24"/>
          <w:szCs w:val="24"/>
        </w:rPr>
        <w:t>专业竞赛</w:t>
      </w:r>
      <w:r w:rsidRPr="00646A2D">
        <w:rPr>
          <w:rFonts w:ascii="宋体" w:eastAsia="宋体" w:hAnsi="宋体" w:cs="宋体"/>
          <w:kern w:val="0"/>
          <w:sz w:val="24"/>
          <w:szCs w:val="24"/>
        </w:rPr>
        <w:t>获奖由初试评审小组认定后按以下标准进行奖励加分</w:t>
      </w:r>
    </w:p>
    <w:tbl>
      <w:tblPr>
        <w:tblW w:w="0" w:type="auto"/>
        <w:tblCellMar>
          <w:left w:w="0" w:type="dxa"/>
          <w:right w:w="0" w:type="dxa"/>
        </w:tblCellMar>
        <w:tblLook w:val="04A0" w:firstRow="1" w:lastRow="0" w:firstColumn="1" w:lastColumn="0" w:noHBand="0" w:noVBand="1"/>
      </w:tblPr>
      <w:tblGrid>
        <w:gridCol w:w="2486"/>
        <w:gridCol w:w="1821"/>
        <w:gridCol w:w="2099"/>
        <w:gridCol w:w="1880"/>
      </w:tblGrid>
      <w:tr w:rsidR="00760654" w:rsidRPr="00646A2D" w:rsidTr="0029431B">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Cs w:val="21"/>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学校单科竞赛</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上海市单科竞赛</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全国（国际）单科竞赛</w:t>
            </w:r>
          </w:p>
        </w:tc>
      </w:tr>
      <w:tr w:rsidR="00760654" w:rsidRPr="00646A2D"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一等奖或特等奖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1.5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2.0</w:t>
            </w:r>
          </w:p>
        </w:tc>
      </w:tr>
      <w:tr w:rsidR="00760654" w:rsidRPr="00646A2D"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二等奖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 </w:t>
            </w:r>
            <w:r w:rsidRPr="00646A2D">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1</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1.5</w:t>
            </w:r>
          </w:p>
        </w:tc>
      </w:tr>
      <w:tr w:rsidR="00760654" w:rsidRPr="00646A2D"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三等奖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 </w:t>
            </w:r>
            <w:r w:rsidRPr="00646A2D">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0.5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1.0</w:t>
            </w:r>
          </w:p>
        </w:tc>
      </w:tr>
      <w:tr w:rsidR="00760654" w:rsidRPr="00646A2D"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优胜奖（鼓励奖）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 </w:t>
            </w:r>
            <w:r w:rsidRPr="00646A2D">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0.2</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646A2D" w:rsidRDefault="00760654" w:rsidP="0029431B">
            <w:pPr>
              <w:widowControl/>
              <w:adjustRightInd w:val="0"/>
              <w:snapToGrid w:val="0"/>
              <w:spacing w:line="360" w:lineRule="exact"/>
              <w:rPr>
                <w:rFonts w:ascii="宋体" w:eastAsia="宋体" w:hAnsi="宋体" w:cs="宋体"/>
                <w:kern w:val="0"/>
                <w:sz w:val="24"/>
                <w:szCs w:val="24"/>
              </w:rPr>
            </w:pPr>
            <w:r w:rsidRPr="00646A2D">
              <w:rPr>
                <w:rFonts w:ascii="宋体" w:eastAsia="宋体" w:hAnsi="宋体" w:cs="宋体"/>
                <w:kern w:val="0"/>
                <w:sz w:val="27"/>
                <w:szCs w:val="27"/>
              </w:rPr>
              <w:t>0.5</w:t>
            </w:r>
          </w:p>
        </w:tc>
      </w:tr>
    </w:tbl>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国家（国际）一等奖或特等奖项目加分申报者不超过五人（以排名先后为序），二等奖项目加分申报者不超过四人，三等奖项目加分申报者不超过三人，优胜奖项目加分申报者不超过两人。上海市单科竞赛一等奖或特等奖项目加分申报者不超过四人，二等奖项目加分申报者不超过三人，三等奖项目加分申报者不超过两人，优胜奖项目加分申报者一人。学校单科竞赛一等奖或特等奖项目加分申报者不超过两人。</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C、在本专业刊物发表论文，第一作者奖励加分为0.1—0.5分（具体分值由初试评审小组认定）；刊登作品于本专业A、B类权威刊物的奖励加分为0.2分（具体分值及合作作品的解释，由初试评审小组认定）。</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D、英语六级通过（满分的60%），奖励加分为1.0分。</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以上A、B、C、D项统计截止时间为申请当年8月31日，经初试评审小组认定需要统计的奖项（如全国高等院校城市规划专业本科生课程作业交流评优等）除外，但仍需在学校相关流程结束前完成统计。</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（3）以综合排序为依据按比例差额确定复试名单。</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5、免试生专业排名和综合排名的审核</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由主管本科教学的院长，主管本科教学的系主任，分管书记，教务科和学生工作办公室的相关老师组成初试评审小组，首先确定相关年级涉及免试生专业排名的专业课程，完成对专业课程成绩的计算。</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lastRenderedPageBreak/>
        <w:t>初试评审小组从德、智、体三个方面全面衡量，逐个进行评审，提出差额复试名单。</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6、差额复试名单确定后，在规定时间内由主管研究生教学的院长，主管研究生教学的系主任，分管书记，教务科的相关老师组成复试评审小组，各系组织差额复试，通过复试确定初选名单后交复试评审小组审核，并张榜公示，经审核通过的，取得免试推荐资格。</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复试评审小组确定本校复试具体事宜并公示复试办法，教务科公示并组织协调各系复试；复试评审小组组织推荐免试硕士研究生复试。</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7、复试评审小组按照复试成绩确定本校推荐免试硕士研究生名单，由教务科公示。</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8、经教务处与研究生院联合审核，报请主管校长批准，向校内推荐的，由研究生院招生办公室发给推荐免试录取通知书；向外校单位推荐的，由学生本人将推荐材料寄给有关单位。</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9、推荐免试硕士研究生材料由教务科报送学校，并由教务科组织后续事宜。</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（1）经批准推荐免试的学生，必须按全国规定的研究生报名时间办理报名手续，并参加体格检查；</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（2）已经落实接收单位并公示的推免生（包括本校及推荐外校）到研究生招生办公室领取校验码，登陆教育部研究生招生网完成网上报名；</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（3）凭本人身份证、学生证到研究生院验证、拍照、缴费、领取《全国推荐免试攻读硕士学位研究生登记表》。</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4）《全国推荐免试攻读硕士学位研究生登记表》本校推荐生办理后交学工办，主管副院长签字，教务科联系相关职能部门统一办理后续事宜，交我校研究生招生办公室；外校推荐生交学工办，主管副院长签字，教务科联系相关职能部门统一办理后续事宜，学生至教务科领取登记表，按规定的时间、方式寄送有关高校研究生招生办公室。</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10、推荐资格一经确定不得随意变动，若有特殊情况，必须经研究生院审核批准。</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11、获得向外校单位推荐资格的学生，超过我校教务处及研究生院截止时间，未收到对方学校单位报名表，自动放弃推荐资格。</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在学校规定时间前尚未接到外校的拟接受函或未将拟接受函交到教务处选课及学籍管理中心（行政北楼122室）或本人放弃，则推免生资格失效，名额不得转让。拟接受函必须由本人提交，并在登记簿上登记，作为已经上交的凭证。</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12、被推荐的免试生在就读研究生期间原则上不允许自费出国攻读学位。</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646A2D">
        <w:rPr>
          <w:rFonts w:ascii="宋体" w:eastAsia="宋体" w:hAnsi="宋体" w:cs="宋体"/>
          <w:kern w:val="0"/>
          <w:sz w:val="24"/>
          <w:szCs w:val="24"/>
        </w:rPr>
        <w:t>13、申报及截止时间以学院推荐免试研究生评审委员会通知为准。</w:t>
      </w:r>
    </w:p>
    <w:p w:rsidR="00760654" w:rsidRPr="000C49AB"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0C49AB">
        <w:rPr>
          <w:rFonts w:ascii="宋体" w:eastAsia="宋体" w:hAnsi="宋体" w:cs="宋体"/>
          <w:b/>
          <w:bCs/>
          <w:kern w:val="0"/>
          <w:sz w:val="24"/>
          <w:szCs w:val="24"/>
        </w:rPr>
        <w:t>四、被录取的推荐免试生，在入学前如发现下列情况之一者，应取消入学资格：</w:t>
      </w:r>
    </w:p>
    <w:p w:rsidR="00760654" w:rsidRPr="000C49AB"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0C49AB">
        <w:rPr>
          <w:rFonts w:ascii="宋体" w:eastAsia="宋体" w:hAnsi="宋体" w:cs="宋体"/>
          <w:kern w:val="0"/>
          <w:sz w:val="24"/>
          <w:szCs w:val="24"/>
        </w:rPr>
        <w:lastRenderedPageBreak/>
        <w:t>1、推荐之后所学课程不及格；</w:t>
      </w:r>
    </w:p>
    <w:p w:rsidR="00760654" w:rsidRPr="000C49AB"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0C49AB">
        <w:rPr>
          <w:rFonts w:ascii="宋体" w:eastAsia="宋体" w:hAnsi="宋体" w:cs="宋体"/>
          <w:kern w:val="0"/>
          <w:sz w:val="24"/>
          <w:szCs w:val="24"/>
        </w:rPr>
        <w:t>2、毕业设计未达到良好；</w:t>
      </w:r>
    </w:p>
    <w:p w:rsidR="00760654" w:rsidRPr="000C49AB"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0C49AB">
        <w:rPr>
          <w:rFonts w:ascii="宋体" w:eastAsia="宋体" w:hAnsi="宋体" w:cs="宋体"/>
          <w:kern w:val="0"/>
          <w:sz w:val="24"/>
          <w:szCs w:val="24"/>
        </w:rPr>
        <w:t>3、受到校纪处分者；</w:t>
      </w:r>
    </w:p>
    <w:p w:rsidR="00760654" w:rsidRPr="00646A2D"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0C49AB">
        <w:rPr>
          <w:rFonts w:ascii="宋体" w:eastAsia="宋体" w:hAnsi="宋体" w:cs="宋体"/>
          <w:kern w:val="0"/>
          <w:sz w:val="24"/>
          <w:szCs w:val="24"/>
        </w:rPr>
        <w:t>4、有违反四项基本原则的言行或参与邪教等违法组织的活动。</w:t>
      </w:r>
    </w:p>
    <w:p w:rsidR="00A1443A" w:rsidRDefault="00A1443A" w:rsidP="00760654">
      <w:pPr>
        <w:widowControl/>
        <w:adjustRightInd w:val="0"/>
        <w:snapToGrid w:val="0"/>
        <w:spacing w:line="360" w:lineRule="exact"/>
        <w:jc w:val="left"/>
        <w:rPr>
          <w:rFonts w:ascii="宋体" w:eastAsia="宋体" w:hAnsi="宋体" w:cs="宋体"/>
          <w:b/>
          <w:bCs/>
          <w:kern w:val="0"/>
          <w:sz w:val="24"/>
          <w:szCs w:val="24"/>
        </w:rPr>
      </w:pPr>
    </w:p>
    <w:p w:rsidR="00760654" w:rsidRPr="00646A2D" w:rsidRDefault="00760654" w:rsidP="00760654">
      <w:pPr>
        <w:widowControl/>
        <w:adjustRightInd w:val="0"/>
        <w:snapToGrid w:val="0"/>
        <w:spacing w:line="360" w:lineRule="exact"/>
        <w:jc w:val="left"/>
        <w:rPr>
          <w:rFonts w:ascii="宋体" w:eastAsia="宋体" w:hAnsi="宋体" w:cs="宋体"/>
          <w:kern w:val="0"/>
          <w:sz w:val="24"/>
          <w:szCs w:val="24"/>
        </w:rPr>
      </w:pPr>
      <w:bookmarkStart w:id="0" w:name="_GoBack"/>
      <w:bookmarkEnd w:id="0"/>
      <w:r w:rsidRPr="00646A2D">
        <w:rPr>
          <w:rFonts w:ascii="宋体" w:eastAsia="宋体" w:hAnsi="宋体" w:cs="宋体"/>
          <w:kern w:val="0"/>
          <w:sz w:val="24"/>
          <w:szCs w:val="24"/>
        </w:rPr>
        <w:t> </w:t>
      </w:r>
    </w:p>
    <w:p w:rsidR="00760654" w:rsidRPr="00646A2D" w:rsidRDefault="00760654" w:rsidP="00760654">
      <w:pPr>
        <w:widowControl/>
        <w:adjustRightInd w:val="0"/>
        <w:snapToGrid w:val="0"/>
        <w:spacing w:line="360" w:lineRule="exact"/>
        <w:ind w:firstLine="4578"/>
        <w:jc w:val="right"/>
        <w:rPr>
          <w:rFonts w:ascii="宋体" w:eastAsia="宋体" w:hAnsi="宋体" w:cs="宋体"/>
          <w:kern w:val="0"/>
          <w:sz w:val="24"/>
          <w:szCs w:val="24"/>
        </w:rPr>
      </w:pPr>
      <w:r w:rsidRPr="00646A2D">
        <w:rPr>
          <w:rFonts w:ascii="宋体" w:eastAsia="宋体" w:hAnsi="宋体" w:cs="宋体"/>
          <w:b/>
          <w:bCs/>
          <w:kern w:val="0"/>
          <w:sz w:val="24"/>
          <w:szCs w:val="24"/>
        </w:rPr>
        <w:t>同济大学建筑与城市规划学院</w:t>
      </w:r>
    </w:p>
    <w:p w:rsidR="00760654" w:rsidRPr="00646A2D" w:rsidRDefault="00760654" w:rsidP="00760654">
      <w:pPr>
        <w:widowControl/>
        <w:adjustRightInd w:val="0"/>
        <w:snapToGrid w:val="0"/>
        <w:spacing w:line="360" w:lineRule="exact"/>
        <w:ind w:right="241" w:firstLine="4578"/>
        <w:jc w:val="right"/>
        <w:rPr>
          <w:rFonts w:ascii="宋体" w:eastAsia="宋体" w:hAnsi="宋体" w:cs="宋体"/>
          <w:b/>
          <w:bCs/>
          <w:kern w:val="0"/>
          <w:sz w:val="24"/>
          <w:szCs w:val="24"/>
        </w:rPr>
      </w:pPr>
      <w:r w:rsidRPr="00646A2D">
        <w:rPr>
          <w:rFonts w:ascii="宋体" w:eastAsia="宋体" w:hAnsi="宋体" w:cs="宋体"/>
          <w:b/>
          <w:bCs/>
          <w:kern w:val="0"/>
          <w:sz w:val="24"/>
          <w:szCs w:val="24"/>
        </w:rPr>
        <w:t>推荐免试研究生评审委员会</w:t>
      </w:r>
    </w:p>
    <w:p w:rsidR="00760654" w:rsidRDefault="00760654" w:rsidP="00760654">
      <w:pPr>
        <w:widowControl/>
        <w:adjustRightInd w:val="0"/>
        <w:snapToGrid w:val="0"/>
        <w:spacing w:line="360" w:lineRule="exact"/>
        <w:ind w:right="1205" w:firstLine="4578"/>
      </w:pPr>
      <w:r w:rsidRPr="00646A2D">
        <w:rPr>
          <w:rFonts w:ascii="宋体" w:eastAsia="宋体" w:hAnsi="宋体" w:cs="宋体" w:hint="eastAsia"/>
          <w:b/>
          <w:bCs/>
          <w:kern w:val="0"/>
          <w:sz w:val="24"/>
          <w:szCs w:val="24"/>
        </w:rPr>
        <w:t xml:space="preserve">     </w:t>
      </w:r>
      <w:r w:rsidRPr="00646A2D">
        <w:rPr>
          <w:rFonts w:ascii="宋体" w:eastAsia="宋体" w:hAnsi="宋体" w:cs="宋体"/>
          <w:b/>
          <w:bCs/>
          <w:kern w:val="0"/>
          <w:sz w:val="24"/>
          <w:szCs w:val="24"/>
        </w:rPr>
        <w:t>201</w:t>
      </w:r>
      <w:r w:rsidR="00CF06FA">
        <w:rPr>
          <w:rFonts w:ascii="宋体" w:eastAsia="宋体" w:hAnsi="宋体" w:cs="宋体"/>
          <w:b/>
          <w:bCs/>
          <w:kern w:val="0"/>
          <w:sz w:val="24"/>
          <w:szCs w:val="24"/>
        </w:rPr>
        <w:t>8</w:t>
      </w:r>
      <w:r w:rsidRPr="00646A2D">
        <w:rPr>
          <w:rFonts w:ascii="宋体" w:eastAsia="宋体" w:hAnsi="宋体" w:cs="宋体"/>
          <w:b/>
          <w:bCs/>
          <w:kern w:val="0"/>
          <w:sz w:val="24"/>
          <w:szCs w:val="24"/>
        </w:rPr>
        <w:t>年</w:t>
      </w:r>
      <w:r w:rsidR="00CF06FA">
        <w:rPr>
          <w:rFonts w:ascii="宋体" w:eastAsia="宋体" w:hAnsi="宋体" w:cs="宋体"/>
          <w:b/>
          <w:bCs/>
          <w:kern w:val="0"/>
          <w:sz w:val="24"/>
          <w:szCs w:val="24"/>
        </w:rPr>
        <w:t>9</w:t>
      </w:r>
      <w:r w:rsidRPr="00646A2D">
        <w:rPr>
          <w:rFonts w:ascii="宋体" w:eastAsia="宋体" w:hAnsi="宋体" w:cs="宋体"/>
          <w:b/>
          <w:bCs/>
          <w:kern w:val="0"/>
          <w:sz w:val="24"/>
          <w:szCs w:val="24"/>
        </w:rPr>
        <w:t>月</w:t>
      </w:r>
    </w:p>
    <w:p w:rsidR="00760654" w:rsidRDefault="00760654" w:rsidP="00760654">
      <w:pPr>
        <w:widowControl/>
        <w:adjustRightInd w:val="0"/>
        <w:snapToGrid w:val="0"/>
        <w:spacing w:line="400" w:lineRule="exact"/>
        <w:jc w:val="center"/>
        <w:rPr>
          <w:rFonts w:ascii="黑体" w:eastAsia="黑体" w:hAnsi="黑体" w:cs="宋体"/>
          <w:kern w:val="0"/>
          <w:sz w:val="32"/>
          <w:szCs w:val="32"/>
        </w:rPr>
      </w:pPr>
    </w:p>
    <w:sectPr w:rsidR="00760654" w:rsidSect="00465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A5" w:rsidRDefault="00B40FA5" w:rsidP="00D46B85">
      <w:r>
        <w:separator/>
      </w:r>
    </w:p>
  </w:endnote>
  <w:endnote w:type="continuationSeparator" w:id="0">
    <w:p w:rsidR="00B40FA5" w:rsidRDefault="00B40FA5" w:rsidP="00D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A5" w:rsidRDefault="00B40FA5" w:rsidP="00D46B85">
      <w:r>
        <w:separator/>
      </w:r>
    </w:p>
  </w:footnote>
  <w:footnote w:type="continuationSeparator" w:id="0">
    <w:p w:rsidR="00B40FA5" w:rsidRDefault="00B40FA5" w:rsidP="00D4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54"/>
    <w:rsid w:val="000C49AB"/>
    <w:rsid w:val="00146FB3"/>
    <w:rsid w:val="00175EAC"/>
    <w:rsid w:val="001D4399"/>
    <w:rsid w:val="002D7EC7"/>
    <w:rsid w:val="00335056"/>
    <w:rsid w:val="00367D43"/>
    <w:rsid w:val="0046508B"/>
    <w:rsid w:val="004A5DA5"/>
    <w:rsid w:val="004F453D"/>
    <w:rsid w:val="005E70FB"/>
    <w:rsid w:val="005F70BA"/>
    <w:rsid w:val="00632C6F"/>
    <w:rsid w:val="00646A2D"/>
    <w:rsid w:val="006E6A50"/>
    <w:rsid w:val="0075060A"/>
    <w:rsid w:val="00760654"/>
    <w:rsid w:val="007D418B"/>
    <w:rsid w:val="00822456"/>
    <w:rsid w:val="00845F11"/>
    <w:rsid w:val="00895DCA"/>
    <w:rsid w:val="008D1C68"/>
    <w:rsid w:val="00A12AEE"/>
    <w:rsid w:val="00A1443A"/>
    <w:rsid w:val="00B3214E"/>
    <w:rsid w:val="00B40FA5"/>
    <w:rsid w:val="00B73E0C"/>
    <w:rsid w:val="00C017DB"/>
    <w:rsid w:val="00C339D8"/>
    <w:rsid w:val="00CA335B"/>
    <w:rsid w:val="00CB5A7F"/>
    <w:rsid w:val="00CC2C7D"/>
    <w:rsid w:val="00CF06FA"/>
    <w:rsid w:val="00D46B85"/>
    <w:rsid w:val="00D902A6"/>
    <w:rsid w:val="00DB6ECB"/>
    <w:rsid w:val="00DF2683"/>
    <w:rsid w:val="00E540AB"/>
    <w:rsid w:val="00F53C24"/>
    <w:rsid w:val="00F7491B"/>
    <w:rsid w:val="00F924BD"/>
    <w:rsid w:val="00FB17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5C336-3A92-4CD1-A80E-8D0BB357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654"/>
    <w:rPr>
      <w:sz w:val="18"/>
      <w:szCs w:val="18"/>
    </w:rPr>
  </w:style>
  <w:style w:type="character" w:customStyle="1" w:styleId="Char">
    <w:name w:val="批注框文本 Char"/>
    <w:basedOn w:val="a0"/>
    <w:link w:val="a3"/>
    <w:uiPriority w:val="99"/>
    <w:semiHidden/>
    <w:rsid w:val="00760654"/>
    <w:rPr>
      <w:sz w:val="18"/>
      <w:szCs w:val="18"/>
    </w:rPr>
  </w:style>
  <w:style w:type="paragraph" w:styleId="a4">
    <w:name w:val="header"/>
    <w:basedOn w:val="a"/>
    <w:link w:val="Char0"/>
    <w:uiPriority w:val="99"/>
    <w:unhideWhenUsed/>
    <w:rsid w:val="00D46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46B85"/>
    <w:rPr>
      <w:sz w:val="18"/>
      <w:szCs w:val="18"/>
    </w:rPr>
  </w:style>
  <w:style w:type="paragraph" w:styleId="a5">
    <w:name w:val="footer"/>
    <w:basedOn w:val="a"/>
    <w:link w:val="Char1"/>
    <w:uiPriority w:val="99"/>
    <w:unhideWhenUsed/>
    <w:rsid w:val="00D46B85"/>
    <w:pPr>
      <w:tabs>
        <w:tab w:val="center" w:pos="4153"/>
        <w:tab w:val="right" w:pos="8306"/>
      </w:tabs>
      <w:snapToGrid w:val="0"/>
      <w:jc w:val="left"/>
    </w:pPr>
    <w:rPr>
      <w:sz w:val="18"/>
      <w:szCs w:val="18"/>
    </w:rPr>
  </w:style>
  <w:style w:type="character" w:customStyle="1" w:styleId="Char1">
    <w:name w:val="页脚 Char"/>
    <w:basedOn w:val="a0"/>
    <w:link w:val="a5"/>
    <w:uiPriority w:val="99"/>
    <w:rsid w:val="00D46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Mexx</cp:lastModifiedBy>
  <cp:revision>5</cp:revision>
  <cp:lastPrinted>2019-06-10T01:46:00Z</cp:lastPrinted>
  <dcterms:created xsi:type="dcterms:W3CDTF">2019-08-15T04:42:00Z</dcterms:created>
  <dcterms:modified xsi:type="dcterms:W3CDTF">2019-08-15T16:56:00Z</dcterms:modified>
</cp:coreProperties>
</file>